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bmp" ContentType="image/bmp"/>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5D506">
      <w:pPr>
        <w:pStyle w:val="48"/>
        <w:spacing w:line="240" w:lineRule="exact"/>
        <w:rPr>
          <w:rFonts w:hint="eastAsia"/>
          <w:b/>
          <w:sz w:val="21"/>
          <w:szCs w:val="21"/>
        </w:rPr>
      </w:pPr>
    </w:p>
    <w:p w14:paraId="341A3FAA">
      <w:pPr>
        <w:pStyle w:val="48"/>
        <w:spacing w:line="240" w:lineRule="exact"/>
        <w:rPr>
          <w:rFonts w:hint="eastAsia"/>
          <w:b/>
          <w:sz w:val="21"/>
          <w:szCs w:val="21"/>
        </w:rPr>
      </w:pPr>
    </w:p>
    <w:p w14:paraId="6E093997">
      <w:pPr>
        <w:pStyle w:val="48"/>
        <w:spacing w:line="240" w:lineRule="exact"/>
        <w:rPr>
          <w:rFonts w:hint="eastAsia"/>
          <w:b/>
          <w:sz w:val="21"/>
          <w:szCs w:val="21"/>
        </w:rPr>
      </w:pPr>
    </w:p>
    <w:p w14:paraId="72F35814">
      <w:pPr>
        <w:pStyle w:val="48"/>
        <w:ind w:right="-57" w:rightChars="-27"/>
        <w:jc w:val="distribute"/>
        <w:rPr>
          <w:rFonts w:hint="eastAsia"/>
          <w:b/>
          <w:sz w:val="72"/>
          <w:szCs w:val="72"/>
        </w:rPr>
      </w:pPr>
      <w:r>
        <w:rPr>
          <w:rFonts w:hint="eastAsia"/>
          <w:b/>
          <w:sz w:val="72"/>
          <w:szCs w:val="72"/>
        </w:rPr>
        <w:t>室内热湿环境评价</w:t>
      </w:r>
    </w:p>
    <w:p w14:paraId="7C86EBC7">
      <w:pPr>
        <w:pStyle w:val="52"/>
        <w:rPr>
          <w:rFonts w:hint="eastAsia"/>
          <w:sz w:val="52"/>
          <w:szCs w:val="52"/>
        </w:rPr>
      </w:pPr>
      <w:bookmarkStart w:id="0" w:name="建筑类别"/>
      <w:r>
        <w:rPr>
          <w:rFonts w:hint="eastAsia"/>
          <w:sz w:val="52"/>
          <w:szCs w:val="52"/>
        </w:rPr>
        <w:t>公共建筑</w:t>
      </w:r>
    </w:p>
    <w:bookmarkEnd w:id="0"/>
    <w:p w14:paraId="5F101C84">
      <w:pPr>
        <w:pStyle w:val="52"/>
        <w:spacing w:line="400" w:lineRule="exact"/>
        <w:rPr>
          <w:rFonts w:hint="eastAsia"/>
        </w:rPr>
      </w:pPr>
    </w:p>
    <w:p w14:paraId="0822CB19">
      <w:pPr>
        <w:pStyle w:val="52"/>
        <w:rPr>
          <w:rFonts w:hint="eastAsia"/>
          <w:sz w:val="36"/>
          <w:szCs w:val="36"/>
        </w:rPr>
      </w:pPr>
      <w:bookmarkStart w:id="1" w:name="项目名称"/>
      <w:r>
        <w:rPr>
          <w:rFonts w:hint="eastAsia"/>
          <w:sz w:val="36"/>
          <w:szCs w:val="36"/>
        </w:rPr>
        <w:t>瑞金宾馆新接待大楼及贵宾楼项目</w:t>
      </w:r>
    </w:p>
    <w:bookmarkEnd w:id="1"/>
    <w:p w14:paraId="39D63B13">
      <w:pPr>
        <w:pStyle w:val="52"/>
        <w:rPr>
          <w:rFonts w:hint="eastAsia"/>
          <w:b/>
        </w:rPr>
      </w:pPr>
      <w:r>
        <w:rPr>
          <w:rFonts w:hint="eastAsia"/>
          <w:b/>
        </w:rPr>
        <w:t>设计编号：</w:t>
      </w:r>
      <w:bookmarkStart w:id="2" w:name="设计编号"/>
      <w:bookmarkEnd w:id="2"/>
    </w:p>
    <w:p w14:paraId="6AA51C32">
      <w:pPr>
        <w:pStyle w:val="52"/>
        <w:rPr>
          <w:rFonts w:hint="eastAsia"/>
          <w:b/>
        </w:rPr>
      </w:pPr>
    </w:p>
    <w:p w14:paraId="5B379144">
      <w:pPr>
        <w:pStyle w:val="48"/>
        <w:jc w:val="center"/>
        <w:rPr>
          <w:rFonts w:hint="eastAsia"/>
          <w:sz w:val="21"/>
          <w:szCs w:val="21"/>
        </w:rPr>
      </w:pPr>
      <w:bookmarkStart w:id="3" w:name="二维码"/>
      <w:bookmarkEnd w:id="3"/>
    </w:p>
    <w:p w14:paraId="7DCCB524">
      <w:pPr>
        <w:pStyle w:val="48"/>
        <w:spacing w:line="240" w:lineRule="exact"/>
        <w:rPr>
          <w:rFonts w:hint="eastAsia"/>
          <w:sz w:val="21"/>
          <w:szCs w:val="21"/>
        </w:rPr>
      </w:pPr>
    </w:p>
    <w:p w14:paraId="314E254F">
      <w:pPr>
        <w:pStyle w:val="48"/>
        <w:spacing w:line="240" w:lineRule="exact"/>
        <w:rPr>
          <w:rFonts w:hint="eastAsia"/>
          <w:sz w:val="21"/>
          <w:szCs w:val="21"/>
        </w:rPr>
      </w:pPr>
    </w:p>
    <w:tbl>
      <w:tblPr>
        <w:tblStyle w:val="23"/>
        <w:tblW w:w="65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14"/>
        <w:gridCol w:w="475"/>
        <w:gridCol w:w="4624"/>
      </w:tblGrid>
      <w:tr w14:paraId="2FF63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DFA0BA9">
            <w:pPr>
              <w:pStyle w:val="48"/>
              <w:spacing w:line="600" w:lineRule="exact"/>
              <w:jc w:val="distribute"/>
              <w:rPr>
                <w:rFonts w:hint="eastAsia"/>
              </w:rPr>
            </w:pPr>
            <w:r>
              <w:rPr>
                <w:rFonts w:hint="eastAsia"/>
              </w:rPr>
              <w:t>工程地点</w:t>
            </w:r>
          </w:p>
        </w:tc>
        <w:tc>
          <w:tcPr>
            <w:tcW w:w="475" w:type="dxa"/>
            <w:vAlign w:val="center"/>
          </w:tcPr>
          <w:p w14:paraId="1C9E2292">
            <w:pPr>
              <w:pStyle w:val="48"/>
              <w:spacing w:line="600" w:lineRule="exact"/>
              <w:ind w:right="-31" w:rightChars="-15"/>
              <w:jc w:val="center"/>
              <w:rPr>
                <w:rFonts w:hint="eastAsia"/>
              </w:rPr>
            </w:pPr>
            <w:r>
              <w:rPr>
                <w:rFonts w:hint="eastAsia"/>
              </w:rPr>
              <w:t>：</w:t>
            </w:r>
          </w:p>
        </w:tc>
        <w:tc>
          <w:tcPr>
            <w:tcW w:w="4624" w:type="dxa"/>
            <w:tcBorders>
              <w:bottom w:val="single" w:color="auto" w:sz="4" w:space="0"/>
            </w:tcBorders>
            <w:vAlign w:val="center"/>
          </w:tcPr>
          <w:p w14:paraId="79A0FC26">
            <w:pPr>
              <w:pStyle w:val="48"/>
              <w:spacing w:line="600" w:lineRule="exact"/>
              <w:jc w:val="center"/>
              <w:rPr>
                <w:rFonts w:hint="eastAsia"/>
              </w:rPr>
            </w:pPr>
            <w:bookmarkStart w:id="4" w:name="项目地点"/>
            <w:r>
              <w:t>上海</w:t>
            </w:r>
            <w:bookmarkEnd w:id="4"/>
            <w:bookmarkStart w:id="5" w:name="工程地点"/>
            <w:bookmarkEnd w:id="5"/>
          </w:p>
        </w:tc>
      </w:tr>
      <w:tr w14:paraId="40ED4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3D28E9E">
            <w:pPr>
              <w:pStyle w:val="48"/>
              <w:spacing w:line="600" w:lineRule="exact"/>
              <w:jc w:val="distribute"/>
              <w:rPr>
                <w:rFonts w:hint="eastAsia"/>
              </w:rPr>
            </w:pPr>
            <w:r>
              <w:rPr>
                <w:rFonts w:hint="eastAsia"/>
              </w:rPr>
              <w:t>建设单位</w:t>
            </w:r>
          </w:p>
        </w:tc>
        <w:tc>
          <w:tcPr>
            <w:tcW w:w="475" w:type="dxa"/>
            <w:vAlign w:val="center"/>
          </w:tcPr>
          <w:p w14:paraId="0FB60916">
            <w:pPr>
              <w:pStyle w:val="48"/>
              <w:spacing w:line="600" w:lineRule="exact"/>
              <w:jc w:val="center"/>
              <w:rPr>
                <w:rFonts w:hint="eastAsia"/>
              </w:rPr>
            </w:pPr>
            <w:r>
              <w:rPr>
                <w:rFonts w:hint="eastAsia"/>
              </w:rPr>
              <w:t>：</w:t>
            </w:r>
          </w:p>
        </w:tc>
        <w:tc>
          <w:tcPr>
            <w:tcW w:w="4624" w:type="dxa"/>
            <w:tcBorders>
              <w:top w:val="single" w:color="auto" w:sz="4" w:space="0"/>
              <w:bottom w:val="single" w:color="auto" w:sz="4" w:space="0"/>
            </w:tcBorders>
            <w:vAlign w:val="center"/>
          </w:tcPr>
          <w:p w14:paraId="5587419F">
            <w:pPr>
              <w:pStyle w:val="48"/>
              <w:spacing w:line="600" w:lineRule="exact"/>
              <w:jc w:val="center"/>
              <w:rPr>
                <w:rFonts w:hint="eastAsia"/>
              </w:rPr>
            </w:pPr>
            <w:bookmarkStart w:id="6" w:name="建设单位"/>
            <w:r>
              <w:t>瑞金宾馆</w:t>
            </w:r>
            <w:bookmarkEnd w:id="6"/>
          </w:p>
        </w:tc>
      </w:tr>
      <w:tr w14:paraId="24408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69AA2F3F">
            <w:pPr>
              <w:pStyle w:val="48"/>
              <w:spacing w:line="600" w:lineRule="exact"/>
              <w:jc w:val="distribute"/>
              <w:rPr>
                <w:rFonts w:hint="eastAsia"/>
              </w:rPr>
            </w:pPr>
            <w:r>
              <w:rPr>
                <w:rFonts w:hint="eastAsia"/>
              </w:rPr>
              <w:t>设计单位</w:t>
            </w:r>
          </w:p>
        </w:tc>
        <w:tc>
          <w:tcPr>
            <w:tcW w:w="475" w:type="dxa"/>
            <w:vAlign w:val="center"/>
          </w:tcPr>
          <w:p w14:paraId="40E36A3D">
            <w:pPr>
              <w:pStyle w:val="48"/>
              <w:spacing w:line="600" w:lineRule="exact"/>
              <w:jc w:val="center"/>
              <w:rPr>
                <w:rFonts w:hint="eastAsia"/>
              </w:rPr>
            </w:pPr>
            <w:r>
              <w:rPr>
                <w:rFonts w:hint="eastAsia"/>
              </w:rPr>
              <w:t>：</w:t>
            </w:r>
          </w:p>
        </w:tc>
        <w:tc>
          <w:tcPr>
            <w:tcW w:w="4624" w:type="dxa"/>
            <w:tcBorders>
              <w:top w:val="single" w:color="auto" w:sz="4" w:space="0"/>
              <w:bottom w:val="single" w:color="auto" w:sz="4" w:space="0"/>
            </w:tcBorders>
            <w:vAlign w:val="center"/>
          </w:tcPr>
          <w:p w14:paraId="6F6F84A4">
            <w:pPr>
              <w:pStyle w:val="48"/>
              <w:spacing w:line="600" w:lineRule="exact"/>
              <w:jc w:val="center"/>
              <w:rPr>
                <w:rFonts w:hint="eastAsia"/>
              </w:rPr>
            </w:pPr>
            <w:bookmarkStart w:id="7" w:name="设计单位"/>
            <w:r>
              <w:t>同济大学建筑设计研究院（集团）有限公司</w:t>
            </w:r>
            <w:bookmarkEnd w:id="7"/>
          </w:p>
        </w:tc>
      </w:tr>
      <w:tr w14:paraId="7259A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5AEDB218">
            <w:pPr>
              <w:pStyle w:val="48"/>
              <w:spacing w:line="600" w:lineRule="exact"/>
              <w:jc w:val="distribute"/>
              <w:rPr>
                <w:rFonts w:hint="eastAsia"/>
              </w:rPr>
            </w:pPr>
            <w:r>
              <w:rPr>
                <w:rFonts w:hint="eastAsia"/>
              </w:rPr>
              <w:t>设计人</w:t>
            </w:r>
          </w:p>
        </w:tc>
        <w:tc>
          <w:tcPr>
            <w:tcW w:w="475" w:type="dxa"/>
            <w:vAlign w:val="center"/>
          </w:tcPr>
          <w:p w14:paraId="6BD6282B">
            <w:pPr>
              <w:pStyle w:val="48"/>
              <w:spacing w:line="600" w:lineRule="exact"/>
              <w:jc w:val="center"/>
              <w:rPr>
                <w:rFonts w:hint="eastAsia"/>
              </w:rPr>
            </w:pPr>
            <w:r>
              <w:rPr>
                <w:rFonts w:hint="eastAsia"/>
              </w:rPr>
              <w:t>：</w:t>
            </w:r>
          </w:p>
        </w:tc>
        <w:tc>
          <w:tcPr>
            <w:tcW w:w="4624" w:type="dxa"/>
            <w:tcBorders>
              <w:top w:val="single" w:color="auto" w:sz="4" w:space="0"/>
              <w:bottom w:val="single" w:color="auto" w:sz="4" w:space="0"/>
            </w:tcBorders>
            <w:vAlign w:val="center"/>
          </w:tcPr>
          <w:p w14:paraId="11CFF794">
            <w:pPr>
              <w:pStyle w:val="48"/>
              <w:spacing w:line="600" w:lineRule="exact"/>
              <w:jc w:val="center"/>
              <w:rPr>
                <w:rFonts w:hint="eastAsia"/>
              </w:rPr>
            </w:pPr>
          </w:p>
        </w:tc>
      </w:tr>
      <w:tr w14:paraId="016F1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74BFF1B1">
            <w:pPr>
              <w:pStyle w:val="48"/>
              <w:spacing w:line="600" w:lineRule="exact"/>
              <w:jc w:val="distribute"/>
              <w:rPr>
                <w:rFonts w:hint="eastAsia"/>
              </w:rPr>
            </w:pPr>
            <w:r>
              <w:rPr>
                <w:rFonts w:hint="eastAsia"/>
              </w:rPr>
              <w:t>校对人</w:t>
            </w:r>
          </w:p>
        </w:tc>
        <w:tc>
          <w:tcPr>
            <w:tcW w:w="475" w:type="dxa"/>
            <w:vAlign w:val="center"/>
          </w:tcPr>
          <w:p w14:paraId="02A7F888">
            <w:pPr>
              <w:pStyle w:val="48"/>
              <w:spacing w:line="600" w:lineRule="exact"/>
              <w:jc w:val="center"/>
              <w:rPr>
                <w:rFonts w:hint="eastAsia"/>
              </w:rPr>
            </w:pPr>
            <w:r>
              <w:rPr>
                <w:rFonts w:hint="eastAsia"/>
              </w:rPr>
              <w:t>：</w:t>
            </w:r>
          </w:p>
        </w:tc>
        <w:tc>
          <w:tcPr>
            <w:tcW w:w="4624" w:type="dxa"/>
            <w:tcBorders>
              <w:top w:val="single" w:color="auto" w:sz="4" w:space="0"/>
              <w:bottom w:val="single" w:color="auto" w:sz="4" w:space="0"/>
            </w:tcBorders>
            <w:vAlign w:val="center"/>
          </w:tcPr>
          <w:p w14:paraId="00F63C2C">
            <w:pPr>
              <w:pStyle w:val="48"/>
              <w:spacing w:line="600" w:lineRule="exact"/>
              <w:jc w:val="center"/>
              <w:rPr>
                <w:rFonts w:hint="eastAsia"/>
              </w:rPr>
            </w:pPr>
          </w:p>
        </w:tc>
      </w:tr>
      <w:tr w14:paraId="134ED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CFB1D04">
            <w:pPr>
              <w:pStyle w:val="48"/>
              <w:spacing w:line="600" w:lineRule="exact"/>
              <w:jc w:val="distribute"/>
              <w:rPr>
                <w:rFonts w:hint="eastAsia"/>
              </w:rPr>
            </w:pPr>
            <w:r>
              <w:rPr>
                <w:rFonts w:hint="eastAsia"/>
              </w:rPr>
              <w:t>审定人</w:t>
            </w:r>
          </w:p>
        </w:tc>
        <w:tc>
          <w:tcPr>
            <w:tcW w:w="475" w:type="dxa"/>
            <w:vAlign w:val="center"/>
          </w:tcPr>
          <w:p w14:paraId="6894D42F">
            <w:pPr>
              <w:pStyle w:val="48"/>
              <w:spacing w:line="600" w:lineRule="exact"/>
              <w:jc w:val="center"/>
              <w:rPr>
                <w:rFonts w:hint="eastAsia"/>
              </w:rPr>
            </w:pPr>
            <w:r>
              <w:rPr>
                <w:rFonts w:hint="eastAsia"/>
              </w:rPr>
              <w:t>：</w:t>
            </w:r>
          </w:p>
        </w:tc>
        <w:tc>
          <w:tcPr>
            <w:tcW w:w="4624" w:type="dxa"/>
            <w:tcBorders>
              <w:top w:val="single" w:color="auto" w:sz="4" w:space="0"/>
              <w:bottom w:val="single" w:color="auto" w:sz="4" w:space="0"/>
            </w:tcBorders>
            <w:vAlign w:val="center"/>
          </w:tcPr>
          <w:p w14:paraId="309D0829">
            <w:pPr>
              <w:pStyle w:val="48"/>
              <w:spacing w:line="600" w:lineRule="exact"/>
              <w:jc w:val="center"/>
              <w:rPr>
                <w:rFonts w:hint="eastAsia"/>
              </w:rPr>
            </w:pPr>
          </w:p>
        </w:tc>
      </w:tr>
      <w:tr w14:paraId="414A6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5244AB02">
            <w:pPr>
              <w:pStyle w:val="48"/>
              <w:spacing w:line="600" w:lineRule="exact"/>
              <w:jc w:val="distribute"/>
              <w:rPr>
                <w:rFonts w:hint="eastAsia"/>
              </w:rPr>
            </w:pPr>
            <w:r>
              <w:rPr>
                <w:rFonts w:hint="eastAsia"/>
              </w:rPr>
              <w:t>报告日期</w:t>
            </w:r>
          </w:p>
        </w:tc>
        <w:tc>
          <w:tcPr>
            <w:tcW w:w="475" w:type="dxa"/>
            <w:vAlign w:val="center"/>
          </w:tcPr>
          <w:p w14:paraId="2F613CBA">
            <w:pPr>
              <w:pStyle w:val="48"/>
              <w:spacing w:line="600" w:lineRule="exact"/>
              <w:jc w:val="center"/>
              <w:rPr>
                <w:rFonts w:hint="eastAsia"/>
              </w:rPr>
            </w:pPr>
            <w:r>
              <w:rPr>
                <w:rFonts w:hint="eastAsia"/>
              </w:rPr>
              <w:t>：</w:t>
            </w:r>
          </w:p>
        </w:tc>
        <w:tc>
          <w:tcPr>
            <w:tcW w:w="4624" w:type="dxa"/>
            <w:tcBorders>
              <w:top w:val="single" w:color="auto" w:sz="4" w:space="0"/>
              <w:bottom w:val="single" w:color="auto" w:sz="4" w:space="0"/>
            </w:tcBorders>
            <w:vAlign w:val="center"/>
          </w:tcPr>
          <w:p w14:paraId="40636C9C">
            <w:pPr>
              <w:pStyle w:val="48"/>
              <w:spacing w:line="600" w:lineRule="exact"/>
              <w:jc w:val="center"/>
              <w:rPr>
                <w:rFonts w:hint="eastAsia"/>
              </w:rPr>
            </w:pPr>
            <w:bookmarkStart w:id="8" w:name="报告日期"/>
            <w:r>
              <w:t>2026年05月12日</w:t>
            </w:r>
            <w:bookmarkEnd w:id="8"/>
          </w:p>
        </w:tc>
      </w:tr>
    </w:tbl>
    <w:p w14:paraId="5EC2E781">
      <w:pPr>
        <w:spacing w:line="240" w:lineRule="exact"/>
      </w:pPr>
    </w:p>
    <w:p w14:paraId="76382B88">
      <w:pPr>
        <w:pStyle w:val="50"/>
        <w:rPr>
          <w:rFonts w:hint="eastAsia"/>
          <w:sz w:val="21"/>
        </w:rPr>
      </w:pPr>
    </w:p>
    <w:p w14:paraId="63EB0148">
      <w:pPr>
        <w:pStyle w:val="50"/>
        <w:rPr>
          <w:rFonts w:hint="eastAsia"/>
          <w:sz w:val="21"/>
        </w:rPr>
      </w:pPr>
    </w:p>
    <w:tbl>
      <w:tblPr>
        <w:tblStyle w:val="23"/>
        <w:tblW w:w="8343" w:type="dxa"/>
        <w:tblInd w:w="108"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2"/>
        <w:gridCol w:w="3143"/>
        <w:gridCol w:w="3958"/>
      </w:tblGrid>
      <w:tr w14:paraId="7D962460">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single" w:color="auto" w:sz="2" w:space="0"/>
              <w:left w:val="nil"/>
              <w:bottom w:val="nil"/>
              <w:right w:val="nil"/>
            </w:tcBorders>
            <w:vAlign w:val="bottom"/>
          </w:tcPr>
          <w:p w14:paraId="499D112E">
            <w:pPr>
              <w:pStyle w:val="50"/>
              <w:jc w:val="distribute"/>
              <w:rPr>
                <w:rFonts w:hint="eastAsia"/>
                <w:szCs w:val="18"/>
              </w:rPr>
            </w:pPr>
            <w:r>
              <w:rPr>
                <w:rFonts w:hint="eastAsia"/>
                <w:szCs w:val="18"/>
              </w:rPr>
              <w:t>采用软件</w:t>
            </w:r>
          </w:p>
        </w:tc>
        <w:tc>
          <w:tcPr>
            <w:tcW w:w="3143" w:type="dxa"/>
            <w:tcBorders>
              <w:top w:val="single" w:color="auto" w:sz="2" w:space="0"/>
              <w:left w:val="nil"/>
              <w:bottom w:val="nil"/>
              <w:right w:val="nil"/>
            </w:tcBorders>
            <w:vAlign w:val="bottom"/>
          </w:tcPr>
          <w:p w14:paraId="29A8EC60">
            <w:pPr>
              <w:pStyle w:val="50"/>
              <w:rPr>
                <w:rFonts w:hint="eastAsia"/>
                <w:szCs w:val="18"/>
              </w:rPr>
            </w:pPr>
            <w:r>
              <w:rPr>
                <w:rFonts w:hint="eastAsia"/>
                <w:szCs w:val="18"/>
              </w:rPr>
              <w:t xml:space="preserve">: </w:t>
            </w:r>
            <w:bookmarkStart w:id="9" w:name="采用软件"/>
            <w:r>
              <w:rPr>
                <w:rFonts w:hint="eastAsia"/>
                <w:szCs w:val="18"/>
              </w:rPr>
              <w:t>室内热舒适ITES2026</w:t>
            </w:r>
            <w:bookmarkEnd w:id="9"/>
          </w:p>
        </w:tc>
        <w:tc>
          <w:tcPr>
            <w:tcW w:w="3958" w:type="dxa"/>
            <w:vMerge w:val="restart"/>
            <w:tcBorders>
              <w:top w:val="single" w:color="auto" w:sz="2" w:space="0"/>
              <w:left w:val="nil"/>
              <w:bottom w:val="nil"/>
              <w:right w:val="nil"/>
            </w:tcBorders>
            <w:vAlign w:val="bottom"/>
          </w:tcPr>
          <w:p w14:paraId="5080F079">
            <w:pPr>
              <w:pStyle w:val="50"/>
              <w:spacing w:line="240" w:lineRule="auto"/>
              <w:ind w:firstLine="360"/>
              <w:jc w:val="right"/>
              <w:rPr>
                <w:rFonts w:hint="eastAsia"/>
                <w:szCs w:val="18"/>
              </w:rPr>
            </w:pPr>
            <w:r>
              <w:rPr>
                <w:szCs w:val="18"/>
                <w:lang w:val="en-US"/>
              </w:rPr>
              <w:drawing>
                <wp:inline distT="0" distB="0" distL="0" distR="0">
                  <wp:extent cx="1962150" cy="504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62150" cy="504825"/>
                          </a:xfrm>
                          <a:prstGeom prst="rect">
                            <a:avLst/>
                          </a:prstGeom>
                          <a:noFill/>
                          <a:ln>
                            <a:noFill/>
                          </a:ln>
                        </pic:spPr>
                      </pic:pic>
                    </a:graphicData>
                  </a:graphic>
                </wp:inline>
              </w:drawing>
            </w:r>
          </w:p>
        </w:tc>
      </w:tr>
      <w:tr w14:paraId="7120449A">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03FE6F97">
            <w:pPr>
              <w:pStyle w:val="50"/>
              <w:jc w:val="distribute"/>
              <w:rPr>
                <w:rFonts w:hint="eastAsia"/>
                <w:szCs w:val="18"/>
              </w:rPr>
            </w:pPr>
            <w:r>
              <w:rPr>
                <w:rFonts w:hint="eastAsia"/>
                <w:szCs w:val="18"/>
              </w:rPr>
              <w:t>软件版本</w:t>
            </w:r>
          </w:p>
        </w:tc>
        <w:tc>
          <w:tcPr>
            <w:tcW w:w="3143" w:type="dxa"/>
            <w:tcBorders>
              <w:top w:val="nil"/>
              <w:left w:val="nil"/>
              <w:bottom w:val="nil"/>
              <w:right w:val="nil"/>
            </w:tcBorders>
            <w:vAlign w:val="bottom"/>
          </w:tcPr>
          <w:p w14:paraId="530B98F2">
            <w:pPr>
              <w:pStyle w:val="50"/>
              <w:rPr>
                <w:rFonts w:hint="eastAsia"/>
              </w:rPr>
            </w:pPr>
            <w:r>
              <w:rPr>
                <w:rFonts w:hint="eastAsia"/>
              </w:rPr>
              <w:t xml:space="preserve">: </w:t>
            </w:r>
            <w:bookmarkStart w:id="10" w:name="软件版本"/>
            <w:r>
              <w:rPr>
                <w:rFonts w:hint="eastAsia"/>
              </w:rPr>
              <w:t>20260303(SP1)</w:t>
            </w:r>
            <w:bookmarkEnd w:id="10"/>
          </w:p>
        </w:tc>
        <w:tc>
          <w:tcPr>
            <w:tcW w:w="3958" w:type="dxa"/>
            <w:vMerge w:val="continue"/>
            <w:tcBorders>
              <w:top w:val="single" w:color="auto" w:sz="2" w:space="0"/>
              <w:left w:val="nil"/>
              <w:bottom w:val="nil"/>
              <w:right w:val="nil"/>
            </w:tcBorders>
            <w:vAlign w:val="center"/>
          </w:tcPr>
          <w:p w14:paraId="7EF75261">
            <w:pPr>
              <w:ind w:firstLine="360"/>
              <w:rPr>
                <w:sz w:val="18"/>
                <w:szCs w:val="18"/>
              </w:rPr>
            </w:pPr>
          </w:p>
        </w:tc>
      </w:tr>
      <w:tr w14:paraId="0D19EBDC">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7DF4C167">
            <w:pPr>
              <w:pStyle w:val="50"/>
              <w:jc w:val="distribute"/>
              <w:rPr>
                <w:rFonts w:hint="eastAsia"/>
                <w:szCs w:val="18"/>
              </w:rPr>
            </w:pPr>
            <w:r>
              <w:rPr>
                <w:rFonts w:hint="eastAsia"/>
                <w:szCs w:val="18"/>
              </w:rPr>
              <w:t>正版授权码</w:t>
            </w:r>
          </w:p>
        </w:tc>
        <w:tc>
          <w:tcPr>
            <w:tcW w:w="3143" w:type="dxa"/>
            <w:tcBorders>
              <w:top w:val="nil"/>
              <w:left w:val="nil"/>
              <w:bottom w:val="nil"/>
              <w:right w:val="nil"/>
            </w:tcBorders>
            <w:vAlign w:val="bottom"/>
          </w:tcPr>
          <w:p w14:paraId="31AC7731">
            <w:pPr>
              <w:pStyle w:val="50"/>
              <w:rPr>
                <w:rFonts w:hint="eastAsia"/>
                <w:szCs w:val="18"/>
              </w:rPr>
            </w:pPr>
            <w:r>
              <w:rPr>
                <w:rFonts w:hint="eastAsia"/>
                <w:szCs w:val="18"/>
              </w:rPr>
              <w:t xml:space="preserve">: </w:t>
            </w:r>
            <w:bookmarkStart w:id="11" w:name="加密锁号"/>
            <w:r>
              <w:rPr>
                <w:rFonts w:hint="eastAsia"/>
                <w:szCs w:val="18"/>
              </w:rPr>
              <w:t>P396E1CAA</w:t>
            </w:r>
            <w:bookmarkEnd w:id="11"/>
          </w:p>
        </w:tc>
        <w:tc>
          <w:tcPr>
            <w:tcW w:w="3958" w:type="dxa"/>
            <w:vMerge w:val="continue"/>
            <w:tcBorders>
              <w:top w:val="single" w:color="auto" w:sz="2" w:space="0"/>
              <w:left w:val="nil"/>
              <w:bottom w:val="nil"/>
              <w:right w:val="nil"/>
            </w:tcBorders>
            <w:vAlign w:val="center"/>
          </w:tcPr>
          <w:p w14:paraId="4065667F">
            <w:pPr>
              <w:ind w:firstLine="360"/>
              <w:rPr>
                <w:sz w:val="18"/>
                <w:szCs w:val="18"/>
              </w:rPr>
            </w:pPr>
          </w:p>
        </w:tc>
      </w:tr>
      <w:tr w14:paraId="41C08A82">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367A029B">
            <w:pPr>
              <w:pStyle w:val="50"/>
              <w:jc w:val="distribute"/>
              <w:rPr>
                <w:rFonts w:hint="eastAsia"/>
                <w:szCs w:val="18"/>
              </w:rPr>
            </w:pPr>
            <w:r>
              <w:rPr>
                <w:rFonts w:hint="eastAsia"/>
                <w:szCs w:val="18"/>
              </w:rPr>
              <w:t>研发单位</w:t>
            </w:r>
          </w:p>
        </w:tc>
        <w:tc>
          <w:tcPr>
            <w:tcW w:w="3143" w:type="dxa"/>
            <w:tcBorders>
              <w:top w:val="nil"/>
              <w:left w:val="nil"/>
              <w:bottom w:val="nil"/>
              <w:right w:val="nil"/>
            </w:tcBorders>
            <w:vAlign w:val="bottom"/>
          </w:tcPr>
          <w:p w14:paraId="01C2CA2E">
            <w:pPr>
              <w:pStyle w:val="50"/>
              <w:rPr>
                <w:rFonts w:hint="eastAsia"/>
                <w:szCs w:val="18"/>
              </w:rPr>
            </w:pPr>
            <w:r>
              <w:rPr>
                <w:rFonts w:hint="eastAsia"/>
                <w:szCs w:val="18"/>
              </w:rPr>
              <w:t>: 北京绿建软件股份有限公司</w:t>
            </w:r>
          </w:p>
        </w:tc>
        <w:tc>
          <w:tcPr>
            <w:tcW w:w="3958" w:type="dxa"/>
            <w:vMerge w:val="continue"/>
            <w:tcBorders>
              <w:top w:val="single" w:color="auto" w:sz="2" w:space="0"/>
              <w:left w:val="nil"/>
              <w:bottom w:val="nil"/>
              <w:right w:val="nil"/>
            </w:tcBorders>
            <w:vAlign w:val="center"/>
          </w:tcPr>
          <w:p w14:paraId="28D30055">
            <w:pPr>
              <w:ind w:firstLine="360"/>
              <w:rPr>
                <w:sz w:val="18"/>
                <w:szCs w:val="18"/>
              </w:rPr>
            </w:pPr>
          </w:p>
        </w:tc>
      </w:tr>
    </w:tbl>
    <w:p w14:paraId="128E6E9A">
      <w:pPr>
        <w:jc w:val="center"/>
        <w:rPr>
          <w:rFonts w:hint="eastAsia" w:ascii="微软雅黑" w:hAnsi="微软雅黑" w:eastAsia="微软雅黑"/>
          <w:b/>
          <w:sz w:val="32"/>
          <w:szCs w:val="32"/>
          <w:lang w:val="en-US"/>
        </w:rPr>
      </w:pPr>
      <w:r>
        <w:rPr>
          <w:lang w:val="en-US"/>
        </w:rPr>
        <w:br w:type="page"/>
      </w:r>
      <w:r>
        <w:rPr>
          <w:rFonts w:hint="eastAsia" w:ascii="微软雅黑" w:hAnsi="微软雅黑" w:eastAsia="微软雅黑"/>
          <w:b/>
          <w:sz w:val="32"/>
          <w:szCs w:val="32"/>
          <w:lang w:val="en-US"/>
        </w:rPr>
        <w:t>目 录</w:t>
      </w:r>
    </w:p>
    <w:p w14:paraId="722935D7">
      <w:pPr>
        <w:pStyle w:val="19"/>
        <w:tabs>
          <w:tab w:val="right" w:leader="dot" w:pos="8312"/>
          <w:tab w:val="clear" w:pos="180"/>
          <w:tab w:val="clear" w:pos="420"/>
          <w:tab w:val="clear" w:pos="8222"/>
        </w:tabs>
      </w:pPr>
      <w:bookmarkStart w:id="12" w:name="目录"/>
      <w:r>
        <w:rPr>
          <w:b w:val="0"/>
          <w:sz w:val="32"/>
          <w:szCs w:val="32"/>
        </w:rPr>
        <w:fldChar w:fldCharType="begin"/>
      </w:r>
      <w:r>
        <w:rPr>
          <w:b w:val="0"/>
          <w:sz w:val="32"/>
          <w:szCs w:val="32"/>
        </w:rPr>
        <w:instrText xml:space="preserve"> </w:instrText>
      </w:r>
      <w:r>
        <w:rPr>
          <w:rFonts w:hint="eastAsia"/>
          <w:b w:val="0"/>
          <w:sz w:val="32"/>
          <w:szCs w:val="32"/>
        </w:rPr>
        <w:instrText xml:space="preserve">TOC \o "1-2" \h \z \u</w:instrText>
      </w:r>
      <w:r>
        <w:rPr>
          <w:b w:val="0"/>
          <w:sz w:val="32"/>
          <w:szCs w:val="32"/>
        </w:rPr>
        <w:instrText xml:space="preserve"> </w:instrText>
      </w:r>
      <w:r>
        <w:rPr>
          <w:b w:val="0"/>
          <w:sz w:val="32"/>
          <w:szCs w:val="32"/>
        </w:rPr>
        <w:fldChar w:fldCharType="separate"/>
      </w:r>
      <w:r>
        <w:rPr>
          <w:szCs w:val="32"/>
        </w:rPr>
        <w:fldChar w:fldCharType="begin"/>
      </w:r>
      <w:r>
        <w:rPr>
          <w:szCs w:val="32"/>
        </w:rPr>
        <w:instrText xml:space="preserve"> HYPERLINK \l _Toc7720 </w:instrText>
      </w:r>
      <w:r>
        <w:rPr>
          <w:szCs w:val="32"/>
        </w:rPr>
        <w:fldChar w:fldCharType="separate"/>
      </w:r>
      <w:r>
        <w:rPr>
          <w:rFonts w:hint="eastAsia"/>
        </w:rPr>
        <w:t>1 项目概况</w:t>
      </w:r>
      <w:r>
        <w:tab/>
      </w:r>
      <w:r>
        <w:fldChar w:fldCharType="begin"/>
      </w:r>
      <w:r>
        <w:instrText xml:space="preserve"> PAGEREF _Toc7720 \h </w:instrText>
      </w:r>
      <w:r>
        <w:fldChar w:fldCharType="separate"/>
      </w:r>
      <w:r>
        <w:t>3</w:t>
      </w:r>
      <w:r>
        <w:fldChar w:fldCharType="end"/>
      </w:r>
      <w:r>
        <w:rPr>
          <w:szCs w:val="32"/>
        </w:rPr>
        <w:fldChar w:fldCharType="end"/>
      </w:r>
    </w:p>
    <w:p w14:paraId="4512DA2E">
      <w:pPr>
        <w:pStyle w:val="20"/>
        <w:tabs>
          <w:tab w:val="right" w:leader="dot" w:pos="8312"/>
          <w:tab w:val="clear" w:pos="540"/>
          <w:tab w:val="clear" w:pos="840"/>
          <w:tab w:val="clear" w:pos="8222"/>
        </w:tabs>
      </w:pPr>
      <w:r>
        <w:rPr>
          <w:szCs w:val="32"/>
        </w:rPr>
        <w:fldChar w:fldCharType="begin"/>
      </w:r>
      <w:r>
        <w:rPr>
          <w:szCs w:val="32"/>
        </w:rPr>
        <w:instrText xml:space="preserve"> HYPERLINK \l _Toc26932 </w:instrText>
      </w:r>
      <w:r>
        <w:rPr>
          <w:szCs w:val="32"/>
        </w:rPr>
        <w:fldChar w:fldCharType="separate"/>
      </w:r>
      <w:r>
        <w:rPr>
          <w:rFonts w:hint="eastAsia"/>
          <w:lang w:val="en-GB"/>
        </w:rPr>
        <w:t xml:space="preserve">1.1 </w:t>
      </w:r>
      <w:r>
        <w:rPr>
          <w:rFonts w:hint="eastAsia"/>
        </w:rPr>
        <w:t>三</w:t>
      </w:r>
      <w:r>
        <w:t>维视图</w:t>
      </w:r>
      <w:r>
        <w:tab/>
      </w:r>
      <w:r>
        <w:fldChar w:fldCharType="begin"/>
      </w:r>
      <w:r>
        <w:instrText xml:space="preserve"> PAGEREF _Toc26932 \h </w:instrText>
      </w:r>
      <w:r>
        <w:fldChar w:fldCharType="separate"/>
      </w:r>
      <w:r>
        <w:t>3</w:t>
      </w:r>
      <w:r>
        <w:fldChar w:fldCharType="end"/>
      </w:r>
      <w:r>
        <w:rPr>
          <w:szCs w:val="32"/>
        </w:rPr>
        <w:fldChar w:fldCharType="end"/>
      </w:r>
    </w:p>
    <w:p w14:paraId="0D5E4C0A">
      <w:pPr>
        <w:pStyle w:val="19"/>
        <w:tabs>
          <w:tab w:val="right" w:leader="dot" w:pos="8312"/>
          <w:tab w:val="clear" w:pos="180"/>
          <w:tab w:val="clear" w:pos="420"/>
          <w:tab w:val="clear" w:pos="8222"/>
        </w:tabs>
      </w:pPr>
      <w:r>
        <w:rPr>
          <w:szCs w:val="32"/>
        </w:rPr>
        <w:fldChar w:fldCharType="begin"/>
      </w:r>
      <w:r>
        <w:rPr>
          <w:szCs w:val="32"/>
        </w:rPr>
        <w:instrText xml:space="preserve"> HYPERLINK \l _Toc22429 </w:instrText>
      </w:r>
      <w:r>
        <w:rPr>
          <w:szCs w:val="32"/>
        </w:rPr>
        <w:fldChar w:fldCharType="separate"/>
      </w:r>
      <w:r>
        <w:rPr>
          <w:rFonts w:hint="eastAsia"/>
        </w:rPr>
        <w:t>2 计算</w:t>
      </w:r>
      <w:r>
        <w:t>依据</w:t>
      </w:r>
      <w:r>
        <w:tab/>
      </w:r>
      <w:r>
        <w:fldChar w:fldCharType="begin"/>
      </w:r>
      <w:r>
        <w:instrText xml:space="preserve"> PAGEREF _Toc22429 \h </w:instrText>
      </w:r>
      <w:r>
        <w:fldChar w:fldCharType="separate"/>
      </w:r>
      <w:r>
        <w:t>3</w:t>
      </w:r>
      <w:r>
        <w:fldChar w:fldCharType="end"/>
      </w:r>
      <w:r>
        <w:rPr>
          <w:szCs w:val="32"/>
        </w:rPr>
        <w:fldChar w:fldCharType="end"/>
      </w:r>
    </w:p>
    <w:p w14:paraId="7BC8E350">
      <w:pPr>
        <w:pStyle w:val="19"/>
        <w:tabs>
          <w:tab w:val="right" w:leader="dot" w:pos="8312"/>
          <w:tab w:val="clear" w:pos="180"/>
          <w:tab w:val="clear" w:pos="420"/>
          <w:tab w:val="clear" w:pos="8222"/>
        </w:tabs>
      </w:pPr>
      <w:r>
        <w:rPr>
          <w:szCs w:val="32"/>
        </w:rPr>
        <w:fldChar w:fldCharType="begin"/>
      </w:r>
      <w:r>
        <w:rPr>
          <w:szCs w:val="32"/>
        </w:rPr>
        <w:instrText xml:space="preserve"> HYPERLINK \l _Toc19244 </w:instrText>
      </w:r>
      <w:r>
        <w:rPr>
          <w:szCs w:val="32"/>
        </w:rPr>
        <w:fldChar w:fldCharType="separate"/>
      </w:r>
      <w:r>
        <w:rPr>
          <w:rFonts w:hint="eastAsia"/>
        </w:rPr>
        <w:t>3 参考</w:t>
      </w:r>
      <w:r>
        <w:t>标准</w:t>
      </w:r>
      <w:r>
        <w:tab/>
      </w:r>
      <w:r>
        <w:fldChar w:fldCharType="begin"/>
      </w:r>
      <w:r>
        <w:instrText xml:space="preserve"> PAGEREF _Toc19244 \h </w:instrText>
      </w:r>
      <w:r>
        <w:fldChar w:fldCharType="separate"/>
      </w:r>
      <w:r>
        <w:t>3</w:t>
      </w:r>
      <w:r>
        <w:fldChar w:fldCharType="end"/>
      </w:r>
      <w:r>
        <w:rPr>
          <w:szCs w:val="32"/>
        </w:rPr>
        <w:fldChar w:fldCharType="end"/>
      </w:r>
    </w:p>
    <w:p w14:paraId="5E15D10F">
      <w:pPr>
        <w:pStyle w:val="19"/>
        <w:tabs>
          <w:tab w:val="right" w:leader="dot" w:pos="8312"/>
          <w:tab w:val="clear" w:pos="180"/>
          <w:tab w:val="clear" w:pos="420"/>
          <w:tab w:val="clear" w:pos="8222"/>
        </w:tabs>
      </w:pPr>
      <w:r>
        <w:rPr>
          <w:szCs w:val="32"/>
        </w:rPr>
        <w:fldChar w:fldCharType="begin"/>
      </w:r>
      <w:r>
        <w:rPr>
          <w:szCs w:val="32"/>
        </w:rPr>
        <w:instrText xml:space="preserve"> HYPERLINK \l _Toc27599 </w:instrText>
      </w:r>
      <w:r>
        <w:rPr>
          <w:szCs w:val="32"/>
        </w:rPr>
        <w:fldChar w:fldCharType="separate"/>
      </w:r>
      <w:r>
        <w:rPr>
          <w:rFonts w:hint="eastAsia"/>
        </w:rPr>
        <w:t>4 计算方法</w:t>
      </w:r>
      <w:r>
        <w:tab/>
      </w:r>
      <w:r>
        <w:fldChar w:fldCharType="begin"/>
      </w:r>
      <w:r>
        <w:instrText xml:space="preserve"> PAGEREF _Toc27599 \h </w:instrText>
      </w:r>
      <w:r>
        <w:fldChar w:fldCharType="separate"/>
      </w:r>
      <w:r>
        <w:t>3</w:t>
      </w:r>
      <w:r>
        <w:fldChar w:fldCharType="end"/>
      </w:r>
      <w:r>
        <w:rPr>
          <w:szCs w:val="32"/>
        </w:rPr>
        <w:fldChar w:fldCharType="end"/>
      </w:r>
    </w:p>
    <w:p w14:paraId="7BF67D06">
      <w:pPr>
        <w:pStyle w:val="20"/>
        <w:tabs>
          <w:tab w:val="right" w:leader="dot" w:pos="8312"/>
          <w:tab w:val="clear" w:pos="540"/>
          <w:tab w:val="clear" w:pos="840"/>
          <w:tab w:val="clear" w:pos="8222"/>
        </w:tabs>
      </w:pPr>
      <w:r>
        <w:rPr>
          <w:szCs w:val="32"/>
        </w:rPr>
        <w:fldChar w:fldCharType="begin"/>
      </w:r>
      <w:r>
        <w:rPr>
          <w:szCs w:val="32"/>
        </w:rPr>
        <w:instrText xml:space="preserve"> HYPERLINK \l _Toc12512 </w:instrText>
      </w:r>
      <w:r>
        <w:rPr>
          <w:szCs w:val="32"/>
        </w:rPr>
        <w:fldChar w:fldCharType="separate"/>
      </w:r>
      <w:r>
        <w:rPr>
          <w:rFonts w:hint="eastAsia"/>
          <w:lang w:val="en-GB"/>
        </w:rPr>
        <w:t xml:space="preserve">4.1 </w:t>
      </w:r>
      <w:r>
        <w:rPr>
          <w:rFonts w:hint="eastAsia"/>
        </w:rPr>
        <w:t>热湿环境评价</w:t>
      </w:r>
      <w:r>
        <w:t>指标</w:t>
      </w:r>
      <w:r>
        <w:rPr>
          <w:rFonts w:hint="eastAsia"/>
        </w:rPr>
        <w:t>计算</w:t>
      </w:r>
      <w:r>
        <w:tab/>
      </w:r>
      <w:r>
        <w:fldChar w:fldCharType="begin"/>
      </w:r>
      <w:r>
        <w:instrText xml:space="preserve"> PAGEREF _Toc12512 \h </w:instrText>
      </w:r>
      <w:r>
        <w:fldChar w:fldCharType="separate"/>
      </w:r>
      <w:r>
        <w:t>4</w:t>
      </w:r>
      <w:r>
        <w:fldChar w:fldCharType="end"/>
      </w:r>
      <w:r>
        <w:rPr>
          <w:szCs w:val="32"/>
        </w:rPr>
        <w:fldChar w:fldCharType="end"/>
      </w:r>
    </w:p>
    <w:p w14:paraId="72AC2173">
      <w:pPr>
        <w:pStyle w:val="19"/>
        <w:tabs>
          <w:tab w:val="right" w:leader="dot" w:pos="8312"/>
          <w:tab w:val="clear" w:pos="180"/>
          <w:tab w:val="clear" w:pos="420"/>
          <w:tab w:val="clear" w:pos="8222"/>
        </w:tabs>
      </w:pPr>
      <w:r>
        <w:rPr>
          <w:szCs w:val="32"/>
        </w:rPr>
        <w:fldChar w:fldCharType="begin"/>
      </w:r>
      <w:r>
        <w:rPr>
          <w:szCs w:val="32"/>
        </w:rPr>
        <w:instrText xml:space="preserve"> HYPERLINK \l _Toc25067 </w:instrText>
      </w:r>
      <w:r>
        <w:rPr>
          <w:szCs w:val="32"/>
        </w:rPr>
        <w:fldChar w:fldCharType="separate"/>
      </w:r>
      <w:r>
        <w:rPr>
          <w:rFonts w:hint="eastAsia"/>
        </w:rPr>
        <w:t>5 计算参数</w:t>
      </w:r>
      <w:r>
        <w:tab/>
      </w:r>
      <w:r>
        <w:fldChar w:fldCharType="begin"/>
      </w:r>
      <w:r>
        <w:instrText xml:space="preserve"> PAGEREF _Toc25067 \h </w:instrText>
      </w:r>
      <w:r>
        <w:fldChar w:fldCharType="separate"/>
      </w:r>
      <w:r>
        <w:t>5</w:t>
      </w:r>
      <w:r>
        <w:fldChar w:fldCharType="end"/>
      </w:r>
      <w:r>
        <w:rPr>
          <w:szCs w:val="32"/>
        </w:rPr>
        <w:fldChar w:fldCharType="end"/>
      </w:r>
    </w:p>
    <w:p w14:paraId="3A4651F7">
      <w:pPr>
        <w:pStyle w:val="19"/>
        <w:tabs>
          <w:tab w:val="right" w:leader="dot" w:pos="8312"/>
          <w:tab w:val="clear" w:pos="180"/>
          <w:tab w:val="clear" w:pos="420"/>
          <w:tab w:val="clear" w:pos="8222"/>
        </w:tabs>
      </w:pPr>
      <w:r>
        <w:rPr>
          <w:szCs w:val="32"/>
        </w:rPr>
        <w:fldChar w:fldCharType="begin"/>
      </w:r>
      <w:r>
        <w:rPr>
          <w:szCs w:val="32"/>
        </w:rPr>
        <w:instrText xml:space="preserve"> HYPERLINK \l _Toc11907 </w:instrText>
      </w:r>
      <w:r>
        <w:rPr>
          <w:szCs w:val="32"/>
        </w:rPr>
        <w:fldChar w:fldCharType="separate"/>
      </w:r>
      <w:r>
        <w:rPr>
          <w:rFonts w:hint="eastAsia"/>
        </w:rPr>
        <w:t>6 计算结果</w:t>
      </w:r>
      <w:r>
        <w:tab/>
      </w:r>
      <w:r>
        <w:fldChar w:fldCharType="begin"/>
      </w:r>
      <w:r>
        <w:instrText xml:space="preserve"> PAGEREF _Toc11907 \h </w:instrText>
      </w:r>
      <w:r>
        <w:fldChar w:fldCharType="separate"/>
      </w:r>
      <w:r>
        <w:t>6</w:t>
      </w:r>
      <w:r>
        <w:fldChar w:fldCharType="end"/>
      </w:r>
      <w:r>
        <w:rPr>
          <w:szCs w:val="32"/>
        </w:rPr>
        <w:fldChar w:fldCharType="end"/>
      </w:r>
    </w:p>
    <w:p w14:paraId="72FA32CB">
      <w:pPr>
        <w:pStyle w:val="20"/>
        <w:tabs>
          <w:tab w:val="right" w:leader="dot" w:pos="8312"/>
          <w:tab w:val="clear" w:pos="540"/>
          <w:tab w:val="clear" w:pos="840"/>
          <w:tab w:val="clear" w:pos="8222"/>
        </w:tabs>
      </w:pPr>
      <w:r>
        <w:rPr>
          <w:szCs w:val="32"/>
        </w:rPr>
        <w:fldChar w:fldCharType="begin"/>
      </w:r>
      <w:r>
        <w:rPr>
          <w:szCs w:val="32"/>
        </w:rPr>
        <w:instrText xml:space="preserve"> HYPERLINK \l _Toc18500 </w:instrText>
      </w:r>
      <w:r>
        <w:rPr>
          <w:szCs w:val="32"/>
        </w:rPr>
        <w:fldChar w:fldCharType="separate"/>
      </w:r>
      <w:r>
        <w:rPr>
          <w:rFonts w:hint="eastAsia"/>
          <w:lang w:val="en-GB"/>
        </w:rPr>
        <w:t xml:space="preserve">6.1 </w:t>
      </w:r>
      <w:r>
        <w:rPr>
          <w:rFonts w:hint="eastAsia"/>
        </w:rPr>
        <w:t>PMV-PPD指标</w:t>
      </w:r>
      <w:r>
        <w:tab/>
      </w:r>
      <w:r>
        <w:fldChar w:fldCharType="begin"/>
      </w:r>
      <w:r>
        <w:instrText xml:space="preserve"> PAGEREF _Toc18500 \h </w:instrText>
      </w:r>
      <w:r>
        <w:fldChar w:fldCharType="separate"/>
      </w:r>
      <w:r>
        <w:t>6</w:t>
      </w:r>
      <w:r>
        <w:fldChar w:fldCharType="end"/>
      </w:r>
      <w:r>
        <w:rPr>
          <w:szCs w:val="32"/>
        </w:rPr>
        <w:fldChar w:fldCharType="end"/>
      </w:r>
    </w:p>
    <w:p w14:paraId="06AB3DD6">
      <w:pPr>
        <w:pStyle w:val="20"/>
        <w:tabs>
          <w:tab w:val="right" w:leader="dot" w:pos="8312"/>
          <w:tab w:val="clear" w:pos="540"/>
          <w:tab w:val="clear" w:pos="840"/>
          <w:tab w:val="clear" w:pos="8222"/>
        </w:tabs>
      </w:pPr>
      <w:r>
        <w:rPr>
          <w:szCs w:val="32"/>
        </w:rPr>
        <w:fldChar w:fldCharType="begin"/>
      </w:r>
      <w:r>
        <w:rPr>
          <w:szCs w:val="32"/>
        </w:rPr>
        <w:instrText xml:space="preserve"> HYPERLINK \l _Toc24662 </w:instrText>
      </w:r>
      <w:r>
        <w:rPr>
          <w:szCs w:val="32"/>
        </w:rPr>
        <w:fldChar w:fldCharType="separate"/>
      </w:r>
      <w:r>
        <w:rPr>
          <w:rFonts w:hint="eastAsia"/>
          <w:lang w:val="en-GB"/>
        </w:rPr>
        <w:t xml:space="preserve">6.2 </w:t>
      </w:r>
      <w:r>
        <w:rPr>
          <w:rFonts w:hint="eastAsia"/>
        </w:rPr>
        <w:t>达标情况</w:t>
      </w:r>
      <w:r>
        <w:tab/>
      </w:r>
      <w:r>
        <w:fldChar w:fldCharType="begin"/>
      </w:r>
      <w:r>
        <w:instrText xml:space="preserve"> PAGEREF _Toc24662 \h </w:instrText>
      </w:r>
      <w:r>
        <w:fldChar w:fldCharType="separate"/>
      </w:r>
      <w:r>
        <w:t>6</w:t>
      </w:r>
      <w:r>
        <w:fldChar w:fldCharType="end"/>
      </w:r>
      <w:r>
        <w:rPr>
          <w:szCs w:val="32"/>
        </w:rPr>
        <w:fldChar w:fldCharType="end"/>
      </w:r>
    </w:p>
    <w:p w14:paraId="7AA5A2E6">
      <w:pPr>
        <w:pStyle w:val="19"/>
        <w:tabs>
          <w:tab w:val="right" w:leader="dot" w:pos="8312"/>
          <w:tab w:val="clear" w:pos="180"/>
          <w:tab w:val="clear" w:pos="420"/>
          <w:tab w:val="clear" w:pos="8222"/>
        </w:tabs>
      </w:pPr>
      <w:r>
        <w:rPr>
          <w:szCs w:val="32"/>
        </w:rPr>
        <w:fldChar w:fldCharType="begin"/>
      </w:r>
      <w:r>
        <w:rPr>
          <w:szCs w:val="32"/>
        </w:rPr>
        <w:instrText xml:space="preserve"> HYPERLINK \l _Toc31820 </w:instrText>
      </w:r>
      <w:r>
        <w:rPr>
          <w:szCs w:val="32"/>
        </w:rPr>
        <w:fldChar w:fldCharType="separate"/>
      </w:r>
      <w:r>
        <w:rPr>
          <w:rFonts w:hint="eastAsia"/>
        </w:rPr>
        <w:t>7 结论</w:t>
      </w:r>
      <w:r>
        <w:tab/>
      </w:r>
      <w:r>
        <w:fldChar w:fldCharType="begin"/>
      </w:r>
      <w:r>
        <w:instrText xml:space="preserve"> PAGEREF _Toc31820 \h </w:instrText>
      </w:r>
      <w:r>
        <w:fldChar w:fldCharType="separate"/>
      </w:r>
      <w:r>
        <w:t>6</w:t>
      </w:r>
      <w:r>
        <w:fldChar w:fldCharType="end"/>
      </w:r>
      <w:r>
        <w:rPr>
          <w:szCs w:val="32"/>
        </w:rPr>
        <w:fldChar w:fldCharType="end"/>
      </w:r>
    </w:p>
    <w:p w14:paraId="7DEEB64C">
      <w:pPr>
        <w:pStyle w:val="19"/>
        <w:rPr>
          <w:rFonts w:hint="eastAsia"/>
        </w:rPr>
        <w:sectPr>
          <w:footerReference r:id="rId7" w:type="first"/>
          <w:headerReference r:id="rId5" w:type="default"/>
          <w:footerReference r:id="rId6" w:type="default"/>
          <w:pgSz w:w="11906" w:h="16838"/>
          <w:pgMar w:top="1440" w:right="1797" w:bottom="426" w:left="1797" w:header="851" w:footer="516" w:gutter="0"/>
          <w:cols w:space="425" w:num="1"/>
          <w:titlePg/>
          <w:docGrid w:type="lines" w:linePitch="312" w:charSpace="0"/>
        </w:sectPr>
      </w:pPr>
      <w:r>
        <w:rPr>
          <w:szCs w:val="32"/>
        </w:rPr>
        <w:fldChar w:fldCharType="end"/>
      </w:r>
      <w:bookmarkEnd w:id="12"/>
    </w:p>
    <w:p w14:paraId="49D475F9">
      <w:pPr>
        <w:pStyle w:val="2"/>
        <w:spacing w:before="312"/>
        <w:rPr>
          <w:rFonts w:hint="eastAsia"/>
        </w:rPr>
      </w:pPr>
      <w:bookmarkStart w:id="13" w:name="_Toc452108759"/>
      <w:bookmarkStart w:id="14" w:name="_Toc44662463"/>
      <w:bookmarkStart w:id="15" w:name="_Toc44772815"/>
      <w:bookmarkStart w:id="16" w:name="_Toc7720"/>
      <w:r>
        <w:rPr>
          <w:rFonts w:hint="eastAsia"/>
        </w:rPr>
        <w:t>项目概况</w:t>
      </w:r>
      <w:bookmarkEnd w:id="13"/>
      <w:bookmarkEnd w:id="14"/>
      <w:bookmarkEnd w:id="15"/>
      <w:bookmarkEnd w:id="16"/>
    </w:p>
    <w:tbl>
      <w:tblPr>
        <w:tblStyle w:val="22"/>
        <w:tblW w:w="4885" w:type="pct"/>
        <w:tblInd w:w="12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593"/>
        <w:gridCol w:w="2860"/>
        <w:gridCol w:w="2873"/>
      </w:tblGrid>
      <w:tr w14:paraId="4B8DD6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4FA7276B">
            <w:pPr>
              <w:pStyle w:val="3"/>
              <w:ind w:firstLine="0" w:firstLineChars="0"/>
              <w:rPr>
                <w:rFonts w:hint="eastAsia" w:ascii="宋体" w:hAnsi="宋体"/>
                <w:lang w:val="en-US"/>
              </w:rPr>
            </w:pPr>
            <w:bookmarkStart w:id="17" w:name="项目概况"/>
            <w:bookmarkEnd w:id="17"/>
            <w:r>
              <w:rPr>
                <w:rFonts w:hint="eastAsia" w:ascii="宋体" w:hAnsi="宋体"/>
                <w:lang w:val="en-US"/>
              </w:rPr>
              <w:t>工程名称</w:t>
            </w:r>
          </w:p>
        </w:tc>
        <w:tc>
          <w:tcPr>
            <w:tcW w:w="6231" w:type="dxa"/>
            <w:gridSpan w:val="2"/>
          </w:tcPr>
          <w:p w14:paraId="5AA01D38">
            <w:pPr>
              <w:pStyle w:val="3"/>
              <w:ind w:firstLine="0" w:firstLineChars="0"/>
              <w:rPr>
                <w:rFonts w:hint="eastAsia" w:ascii="宋体" w:hAnsi="宋体"/>
                <w:lang w:val="en-US"/>
              </w:rPr>
            </w:pPr>
            <w:bookmarkStart w:id="18" w:name="工程名称"/>
            <w:r>
              <w:t>瑞金宾馆新接待大楼及贵宾楼项目</w:t>
            </w:r>
            <w:bookmarkEnd w:id="18"/>
          </w:p>
        </w:tc>
      </w:tr>
      <w:tr w14:paraId="0051DF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1B584E24">
            <w:pPr>
              <w:pStyle w:val="3"/>
              <w:ind w:firstLine="0" w:firstLineChars="0"/>
              <w:rPr>
                <w:rFonts w:hint="eastAsia" w:ascii="宋体" w:hAnsi="宋体"/>
                <w:lang w:val="en-US"/>
              </w:rPr>
            </w:pPr>
            <w:r>
              <w:rPr>
                <w:rFonts w:hint="eastAsia" w:ascii="宋体" w:hAnsi="宋体"/>
                <w:lang w:val="en-US"/>
              </w:rPr>
              <w:t>工程地点</w:t>
            </w:r>
          </w:p>
        </w:tc>
        <w:tc>
          <w:tcPr>
            <w:tcW w:w="6231" w:type="dxa"/>
            <w:gridSpan w:val="2"/>
          </w:tcPr>
          <w:p w14:paraId="25BA8A21">
            <w:pPr>
              <w:pStyle w:val="3"/>
              <w:ind w:firstLine="0" w:firstLineChars="0"/>
              <w:rPr>
                <w:rFonts w:hint="eastAsia" w:ascii="宋体" w:hAnsi="宋体"/>
                <w:lang w:val="en-US"/>
              </w:rPr>
            </w:pPr>
            <w:r>
              <w:t>上海-上海</w:t>
            </w:r>
          </w:p>
        </w:tc>
      </w:tr>
      <w:tr w14:paraId="7BD0AB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5FFE6821">
            <w:pPr>
              <w:pStyle w:val="3"/>
              <w:ind w:firstLine="0" w:firstLineChars="0"/>
              <w:rPr>
                <w:rFonts w:hint="eastAsia" w:ascii="宋体" w:hAnsi="宋体"/>
                <w:lang w:val="en-US"/>
              </w:rPr>
            </w:pPr>
            <w:r>
              <w:rPr>
                <w:rFonts w:hint="eastAsia" w:ascii="宋体" w:hAnsi="宋体"/>
                <w:lang w:val="en-US"/>
              </w:rPr>
              <w:t>地理位置</w:t>
            </w:r>
          </w:p>
        </w:tc>
        <w:tc>
          <w:tcPr>
            <w:tcW w:w="3115" w:type="dxa"/>
          </w:tcPr>
          <w:p w14:paraId="3DED9EFE">
            <w:pPr>
              <w:pStyle w:val="3"/>
              <w:ind w:firstLine="0" w:firstLineChars="0"/>
              <w:rPr>
                <w:rFonts w:hint="eastAsia" w:ascii="宋体" w:hAnsi="宋体"/>
                <w:lang w:val="en-US"/>
              </w:rPr>
            </w:pPr>
            <w:r>
              <w:rPr>
                <w:rFonts w:hint="eastAsia" w:ascii="宋体" w:hAnsi="宋体"/>
                <w:lang w:val="en-US"/>
              </w:rPr>
              <w:t>北纬：</w:t>
            </w:r>
            <w:bookmarkStart w:id="19" w:name="纬度"/>
            <w:r>
              <w:rPr>
                <w:rFonts w:hint="eastAsia" w:ascii="宋体" w:hAnsi="宋体"/>
                <w:lang w:val="en-US"/>
              </w:rPr>
              <w:t>31.20</w:t>
            </w:r>
            <w:bookmarkEnd w:id="19"/>
            <w:r>
              <w:rPr>
                <w:rFonts w:hint="eastAsia" w:ascii="宋体" w:hAnsi="宋体"/>
                <w:lang w:val="en-US"/>
              </w:rPr>
              <w:t>°</w:t>
            </w:r>
          </w:p>
        </w:tc>
        <w:tc>
          <w:tcPr>
            <w:tcW w:w="3116" w:type="dxa"/>
          </w:tcPr>
          <w:p w14:paraId="5FF958CD">
            <w:pPr>
              <w:pStyle w:val="3"/>
              <w:ind w:firstLine="0" w:firstLineChars="0"/>
              <w:rPr>
                <w:rFonts w:hint="eastAsia" w:ascii="宋体" w:hAnsi="宋体"/>
                <w:lang w:val="en-US"/>
              </w:rPr>
            </w:pPr>
            <w:r>
              <w:rPr>
                <w:rFonts w:hint="eastAsia" w:ascii="宋体" w:hAnsi="宋体"/>
                <w:lang w:val="en-US"/>
              </w:rPr>
              <w:t>东经：</w:t>
            </w:r>
            <w:bookmarkStart w:id="20" w:name="经度"/>
            <w:r>
              <w:rPr>
                <w:rFonts w:hint="eastAsia" w:ascii="宋体" w:hAnsi="宋体"/>
                <w:lang w:val="en-US"/>
              </w:rPr>
              <w:t>121.43</w:t>
            </w:r>
            <w:bookmarkEnd w:id="20"/>
            <w:r>
              <w:rPr>
                <w:rFonts w:hint="eastAsia" w:ascii="宋体" w:hAnsi="宋体"/>
                <w:lang w:val="en-US"/>
              </w:rPr>
              <w:t>°</w:t>
            </w:r>
          </w:p>
        </w:tc>
      </w:tr>
      <w:tr w14:paraId="151ED80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0F44D7F7">
            <w:pPr>
              <w:pStyle w:val="3"/>
              <w:ind w:firstLine="0" w:firstLineChars="0"/>
              <w:rPr>
                <w:rFonts w:hint="eastAsia" w:ascii="宋体" w:hAnsi="宋体"/>
                <w:lang w:val="en-US"/>
              </w:rPr>
            </w:pPr>
            <w:r>
              <w:rPr>
                <w:rFonts w:hint="eastAsia" w:ascii="宋体" w:hAnsi="宋体"/>
                <w:lang w:val="en-US"/>
              </w:rPr>
              <w:t>计算建筑面积(</w:t>
            </w:r>
            <w:r>
              <w:rPr>
                <w:rFonts w:hint="eastAsia" w:ascii="宋体" w:hAnsi="宋体"/>
                <w:sz w:val="24"/>
                <w:lang w:val="en-US"/>
              </w:rPr>
              <w:t>m</w:t>
            </w:r>
            <w:r>
              <w:rPr>
                <w:rFonts w:hint="eastAsia" w:ascii="宋体" w:hAnsi="宋体"/>
                <w:sz w:val="24"/>
                <w:vertAlign w:val="superscript"/>
                <w:lang w:val="en-US"/>
              </w:rPr>
              <w:t>2</w:t>
            </w:r>
            <w:r>
              <w:rPr>
                <w:rFonts w:hint="eastAsia" w:ascii="宋体" w:hAnsi="宋体"/>
                <w:lang w:val="en-US"/>
              </w:rPr>
              <w:t>)</w:t>
            </w:r>
          </w:p>
        </w:tc>
        <w:tc>
          <w:tcPr>
            <w:tcW w:w="6231" w:type="dxa"/>
            <w:gridSpan w:val="2"/>
          </w:tcPr>
          <w:p w14:paraId="5F1DCBC3">
            <w:pPr>
              <w:pStyle w:val="3"/>
              <w:ind w:firstLine="0" w:firstLineChars="0"/>
              <w:rPr>
                <w:rFonts w:hint="eastAsia" w:ascii="宋体" w:hAnsi="宋体"/>
                <w:lang w:val="en-US"/>
              </w:rPr>
            </w:pPr>
            <w:r>
              <w:rPr>
                <w:rFonts w:hint="eastAsia" w:ascii="宋体" w:hAnsi="宋体"/>
                <w:lang w:val="en-US"/>
              </w:rPr>
              <w:t>地上</w:t>
            </w:r>
            <w:bookmarkStart w:id="21" w:name="地上建筑面积"/>
            <w:r>
              <w:rPr>
                <w:rFonts w:hint="eastAsia" w:ascii="宋体" w:hAnsi="宋体"/>
                <w:lang w:val="en-US"/>
              </w:rPr>
              <w:t>8449</w:t>
            </w:r>
            <w:bookmarkEnd w:id="21"/>
            <w:r>
              <w:rPr>
                <w:rFonts w:hint="eastAsia" w:ascii="宋体" w:hAnsi="宋体"/>
                <w:lang w:val="en-US"/>
              </w:rPr>
              <w:t xml:space="preserve">    地下</w:t>
            </w:r>
            <w:bookmarkStart w:id="22" w:name="地下建筑面积"/>
            <w:r>
              <w:rPr>
                <w:rFonts w:hint="eastAsia" w:ascii="宋体" w:hAnsi="宋体"/>
                <w:lang w:val="en-US"/>
              </w:rPr>
              <w:t>0</w:t>
            </w:r>
            <w:bookmarkEnd w:id="22"/>
          </w:p>
        </w:tc>
      </w:tr>
      <w:tr w14:paraId="6657E5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5B5326E4">
            <w:pPr>
              <w:pStyle w:val="3"/>
              <w:ind w:firstLine="0" w:firstLineChars="0"/>
              <w:rPr>
                <w:rFonts w:hint="eastAsia" w:ascii="宋体" w:hAnsi="宋体"/>
                <w:lang w:val="en-US"/>
              </w:rPr>
            </w:pPr>
            <w:r>
              <w:rPr>
                <w:rFonts w:hint="eastAsia" w:ascii="宋体" w:hAnsi="宋体"/>
                <w:lang w:val="en-US"/>
              </w:rPr>
              <w:t>建筑层数</w:t>
            </w:r>
          </w:p>
        </w:tc>
        <w:tc>
          <w:tcPr>
            <w:tcW w:w="6231" w:type="dxa"/>
            <w:gridSpan w:val="2"/>
          </w:tcPr>
          <w:p w14:paraId="2007CD33">
            <w:pPr>
              <w:pStyle w:val="3"/>
              <w:ind w:firstLine="0" w:firstLineChars="0"/>
              <w:rPr>
                <w:rFonts w:hint="eastAsia" w:ascii="宋体" w:hAnsi="宋体"/>
                <w:lang w:val="en-US"/>
              </w:rPr>
            </w:pPr>
            <w:r>
              <w:rPr>
                <w:rFonts w:hint="eastAsia" w:ascii="宋体" w:hAnsi="宋体"/>
                <w:lang w:val="en-US"/>
              </w:rPr>
              <w:t>地上</w:t>
            </w:r>
            <w:bookmarkStart w:id="23" w:name="地上建筑层数"/>
            <w:r>
              <w:rPr>
                <w:rFonts w:hint="eastAsia" w:ascii="宋体" w:hAnsi="宋体"/>
                <w:lang w:val="en-US"/>
              </w:rPr>
              <w:t>4</w:t>
            </w:r>
            <w:bookmarkEnd w:id="23"/>
            <w:r>
              <w:rPr>
                <w:rFonts w:hint="eastAsia" w:ascii="宋体" w:hAnsi="宋体"/>
                <w:lang w:val="en-US"/>
              </w:rPr>
              <w:t xml:space="preserve">          地下</w:t>
            </w:r>
            <w:bookmarkStart w:id="24" w:name="地下建筑层数"/>
            <w:r>
              <w:t>0</w:t>
            </w:r>
            <w:bookmarkEnd w:id="24"/>
          </w:p>
        </w:tc>
      </w:tr>
      <w:tr w14:paraId="3B7CAF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5502021E">
            <w:pPr>
              <w:pStyle w:val="3"/>
              <w:ind w:firstLine="0" w:firstLineChars="0"/>
              <w:rPr>
                <w:rFonts w:hint="eastAsia" w:ascii="宋体" w:hAnsi="宋体"/>
                <w:lang w:val="en-US"/>
              </w:rPr>
            </w:pPr>
            <w:r>
              <w:rPr>
                <w:rFonts w:hint="eastAsia" w:ascii="宋体" w:hAnsi="宋体"/>
                <w:lang w:val="en-US"/>
              </w:rPr>
              <w:t>建筑高度（m）</w:t>
            </w:r>
          </w:p>
        </w:tc>
        <w:tc>
          <w:tcPr>
            <w:tcW w:w="6231" w:type="dxa"/>
            <w:gridSpan w:val="2"/>
          </w:tcPr>
          <w:p w14:paraId="49181223">
            <w:pPr>
              <w:pStyle w:val="3"/>
              <w:ind w:firstLine="0" w:firstLineChars="0"/>
              <w:rPr>
                <w:rFonts w:hint="eastAsia" w:ascii="宋体" w:hAnsi="宋体"/>
                <w:lang w:val="en-US"/>
              </w:rPr>
            </w:pPr>
            <w:r>
              <w:rPr>
                <w:rFonts w:hint="eastAsia" w:ascii="宋体" w:hAnsi="宋体"/>
                <w:lang w:val="en-US"/>
              </w:rPr>
              <w:t>地上</w:t>
            </w:r>
            <w:bookmarkStart w:id="25" w:name="地上建筑高度"/>
            <w:r>
              <w:rPr>
                <w:rFonts w:hint="eastAsia" w:ascii="宋体" w:hAnsi="宋体"/>
                <w:lang w:val="en-US"/>
              </w:rPr>
              <w:t>22.0</w:t>
            </w:r>
            <w:bookmarkEnd w:id="25"/>
            <w:r>
              <w:rPr>
                <w:rFonts w:hint="eastAsia" w:ascii="宋体" w:hAnsi="宋体"/>
                <w:lang w:val="en-US"/>
              </w:rPr>
              <w:t xml:space="preserve">     地下</w:t>
            </w:r>
            <w:bookmarkStart w:id="26" w:name="地下建筑高度"/>
            <w:r>
              <w:rPr>
                <w:rFonts w:hint="eastAsia" w:ascii="宋体" w:hAnsi="宋体"/>
                <w:lang w:val="en-US"/>
              </w:rPr>
              <w:t>0.0</w:t>
            </w:r>
            <w:bookmarkEnd w:id="26"/>
          </w:p>
        </w:tc>
      </w:tr>
      <w:tr w14:paraId="359EEB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39607D25">
            <w:pPr>
              <w:pStyle w:val="3"/>
              <w:ind w:firstLine="0" w:firstLineChars="0"/>
              <w:rPr>
                <w:rFonts w:hint="eastAsia" w:ascii="宋体" w:hAnsi="宋体"/>
                <w:lang w:val="en-US"/>
              </w:rPr>
            </w:pPr>
            <w:r>
              <w:rPr>
                <w:rFonts w:hint="eastAsia" w:ascii="宋体" w:hAnsi="宋体"/>
                <w:lang w:val="en-US"/>
              </w:rPr>
              <w:t>计算</w:t>
            </w:r>
            <w:r>
              <w:rPr>
                <w:rFonts w:hint="eastAsia"/>
              </w:rPr>
              <w:t>建筑体积</w:t>
            </w:r>
            <w:r>
              <w:rPr>
                <w:rFonts w:hint="eastAsia" w:ascii="宋体" w:hAnsi="宋体"/>
                <w:lang w:val="en-US"/>
              </w:rPr>
              <w:t>(</w:t>
            </w:r>
            <w:r>
              <w:rPr>
                <w:rFonts w:hint="eastAsia" w:ascii="宋体" w:hAnsi="宋体"/>
                <w:sz w:val="24"/>
                <w:lang w:val="en-US"/>
              </w:rPr>
              <w:t>m</w:t>
            </w:r>
            <w:r>
              <w:rPr>
                <w:rFonts w:hint="eastAsia" w:ascii="宋体" w:hAnsi="宋体"/>
                <w:sz w:val="24"/>
                <w:vertAlign w:val="superscript"/>
                <w:lang w:val="en-US"/>
              </w:rPr>
              <w:t>3</w:t>
            </w:r>
            <w:r>
              <w:rPr>
                <w:rFonts w:hint="eastAsia" w:ascii="宋体" w:hAnsi="宋体"/>
                <w:lang w:val="en-US"/>
              </w:rPr>
              <w:t>)</w:t>
            </w:r>
          </w:p>
        </w:tc>
        <w:tc>
          <w:tcPr>
            <w:tcW w:w="6231" w:type="dxa"/>
            <w:gridSpan w:val="2"/>
          </w:tcPr>
          <w:p w14:paraId="45ADBFAB">
            <w:pPr>
              <w:pStyle w:val="3"/>
              <w:ind w:firstLine="0" w:firstLineChars="0"/>
              <w:rPr>
                <w:rFonts w:hint="eastAsia" w:ascii="宋体" w:hAnsi="宋体"/>
                <w:lang w:val="en-US"/>
              </w:rPr>
            </w:pPr>
            <w:bookmarkStart w:id="27" w:name="建筑体积"/>
            <w:r>
              <w:t>35798.67</w:t>
            </w:r>
            <w:bookmarkEnd w:id="27"/>
          </w:p>
        </w:tc>
      </w:tr>
      <w:tr w14:paraId="11B4A2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2CAC02BA">
            <w:pPr>
              <w:pStyle w:val="3"/>
              <w:ind w:firstLine="0" w:firstLineChars="0"/>
              <w:rPr>
                <w:rFonts w:hint="eastAsia" w:ascii="宋体" w:hAnsi="宋体"/>
                <w:lang w:val="en-US"/>
              </w:rPr>
            </w:pPr>
            <w:r>
              <w:rPr>
                <w:rFonts w:hint="eastAsia" w:ascii="宋体" w:hAnsi="宋体"/>
                <w:lang w:val="en-US"/>
              </w:rPr>
              <w:t>计算</w:t>
            </w:r>
            <w:r>
              <w:rPr>
                <w:rFonts w:hint="eastAsia"/>
              </w:rPr>
              <w:t>建筑外表面积</w:t>
            </w:r>
            <w:r>
              <w:rPr>
                <w:rFonts w:hint="eastAsia" w:ascii="宋体" w:hAnsi="宋体"/>
                <w:lang w:val="en-US"/>
              </w:rPr>
              <w:t>(</w:t>
            </w:r>
            <w:r>
              <w:rPr>
                <w:rFonts w:hint="eastAsia" w:ascii="宋体" w:hAnsi="宋体"/>
                <w:sz w:val="24"/>
                <w:lang w:val="en-US"/>
              </w:rPr>
              <w:t>m</w:t>
            </w:r>
            <w:r>
              <w:rPr>
                <w:rFonts w:hint="eastAsia" w:ascii="宋体" w:hAnsi="宋体"/>
                <w:sz w:val="24"/>
                <w:vertAlign w:val="superscript"/>
                <w:lang w:val="en-US"/>
              </w:rPr>
              <w:t>2</w:t>
            </w:r>
            <w:r>
              <w:rPr>
                <w:rFonts w:hint="eastAsia" w:ascii="宋体" w:hAnsi="宋体"/>
                <w:lang w:val="en-US"/>
              </w:rPr>
              <w:t>)</w:t>
            </w:r>
          </w:p>
        </w:tc>
        <w:tc>
          <w:tcPr>
            <w:tcW w:w="6231" w:type="dxa"/>
            <w:gridSpan w:val="2"/>
          </w:tcPr>
          <w:p w14:paraId="5DF16B77">
            <w:pPr>
              <w:pStyle w:val="3"/>
              <w:ind w:firstLine="0" w:firstLineChars="0"/>
              <w:rPr>
                <w:rFonts w:hint="eastAsia" w:ascii="宋体" w:hAnsi="宋体"/>
                <w:lang w:val="en-US"/>
              </w:rPr>
            </w:pPr>
            <w:bookmarkStart w:id="28" w:name="外表面积"/>
            <w:r>
              <w:t>6541.98</w:t>
            </w:r>
            <w:bookmarkEnd w:id="28"/>
          </w:p>
        </w:tc>
      </w:tr>
      <w:tr w14:paraId="32E999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59CBD6E7">
            <w:pPr>
              <w:pStyle w:val="3"/>
              <w:ind w:firstLine="0" w:firstLineChars="0"/>
              <w:rPr>
                <w:rFonts w:hint="eastAsia" w:ascii="宋体" w:hAnsi="宋体"/>
                <w:lang w:val="en-US"/>
              </w:rPr>
            </w:pPr>
            <w:r>
              <w:rPr>
                <w:rFonts w:hint="eastAsia" w:ascii="宋体" w:hAnsi="宋体"/>
                <w:lang w:val="en-US"/>
              </w:rPr>
              <w:t>北向角度</w:t>
            </w:r>
          </w:p>
        </w:tc>
        <w:tc>
          <w:tcPr>
            <w:tcW w:w="6231" w:type="dxa"/>
            <w:gridSpan w:val="2"/>
          </w:tcPr>
          <w:p w14:paraId="7C004F28">
            <w:pPr>
              <w:pStyle w:val="3"/>
              <w:ind w:firstLine="0" w:firstLineChars="0"/>
              <w:rPr>
                <w:rFonts w:hint="eastAsia" w:ascii="宋体" w:hAnsi="宋体"/>
                <w:lang w:val="en-US"/>
              </w:rPr>
            </w:pPr>
            <w:bookmarkStart w:id="29" w:name="北向角度"/>
            <w:r>
              <w:t>67.9</w:t>
            </w:r>
            <w:bookmarkEnd w:id="29"/>
          </w:p>
        </w:tc>
      </w:tr>
      <w:tr w14:paraId="70A4DC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46AB3534">
            <w:pPr>
              <w:pStyle w:val="3"/>
              <w:ind w:firstLine="0" w:firstLineChars="0"/>
              <w:rPr>
                <w:rFonts w:hint="eastAsia" w:ascii="宋体" w:hAnsi="宋体"/>
                <w:lang w:val="en-US"/>
              </w:rPr>
            </w:pPr>
            <w:r>
              <w:rPr>
                <w:rFonts w:hint="eastAsia" w:ascii="宋体" w:hAnsi="宋体"/>
                <w:lang w:val="en-US"/>
              </w:rPr>
              <w:t>结构类型</w:t>
            </w:r>
          </w:p>
        </w:tc>
        <w:tc>
          <w:tcPr>
            <w:tcW w:w="6231" w:type="dxa"/>
            <w:gridSpan w:val="2"/>
          </w:tcPr>
          <w:p w14:paraId="3124ED00">
            <w:pPr>
              <w:pStyle w:val="3"/>
              <w:ind w:firstLine="0" w:firstLineChars="0"/>
              <w:rPr>
                <w:rFonts w:hint="eastAsia" w:ascii="宋体" w:hAnsi="宋体"/>
                <w:lang w:val="en-US"/>
              </w:rPr>
            </w:pPr>
            <w:bookmarkStart w:id="30" w:name="结构类型"/>
            <w:bookmarkEnd w:id="30"/>
          </w:p>
        </w:tc>
      </w:tr>
      <w:tr w14:paraId="37B973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F9B1B17">
            <w:pPr>
              <w:pStyle w:val="3"/>
              <w:ind w:firstLine="0" w:firstLineChars="0"/>
              <w:rPr>
                <w:rFonts w:hint="eastAsia" w:ascii="宋体" w:hAnsi="宋体"/>
                <w:lang w:val="en-US"/>
              </w:rPr>
            </w:pPr>
            <w:r>
              <w:rPr>
                <w:rFonts w:hint="eastAsia"/>
              </w:rPr>
              <w:t>外墙太阳辐射吸收系数</w:t>
            </w:r>
          </w:p>
        </w:tc>
        <w:tc>
          <w:tcPr>
            <w:tcW w:w="6231" w:type="dxa"/>
            <w:gridSpan w:val="2"/>
          </w:tcPr>
          <w:p w14:paraId="7C6B3411">
            <w:pPr>
              <w:pStyle w:val="3"/>
              <w:ind w:firstLine="0" w:firstLineChars="0"/>
              <w:rPr>
                <w:rFonts w:hint="eastAsia" w:ascii="宋体" w:hAnsi="宋体"/>
                <w:lang w:val="en-US"/>
              </w:rPr>
            </w:pPr>
            <w:bookmarkStart w:id="31" w:name="外墙ρ"/>
            <w:r>
              <w:rPr>
                <w:rFonts w:hint="eastAsia"/>
              </w:rPr>
              <w:t>0.70</w:t>
            </w:r>
            <w:bookmarkEnd w:id="31"/>
          </w:p>
        </w:tc>
      </w:tr>
      <w:tr w14:paraId="0520A9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60A304C7">
            <w:pPr>
              <w:pStyle w:val="3"/>
              <w:ind w:firstLine="0" w:firstLineChars="0"/>
              <w:rPr>
                <w:rFonts w:hint="eastAsia" w:ascii="宋体" w:hAnsi="宋体"/>
                <w:lang w:val="en-US"/>
              </w:rPr>
            </w:pPr>
            <w:r>
              <w:rPr>
                <w:rFonts w:hint="eastAsia"/>
              </w:rPr>
              <w:t>屋顶太阳辐射吸收系数</w:t>
            </w:r>
          </w:p>
        </w:tc>
        <w:tc>
          <w:tcPr>
            <w:tcW w:w="6231" w:type="dxa"/>
            <w:gridSpan w:val="2"/>
          </w:tcPr>
          <w:p w14:paraId="68FB20A8">
            <w:pPr>
              <w:pStyle w:val="3"/>
              <w:ind w:firstLine="0" w:firstLineChars="0"/>
              <w:rPr>
                <w:rFonts w:hint="eastAsia" w:ascii="宋体" w:hAnsi="宋体"/>
                <w:lang w:val="en-US"/>
              </w:rPr>
            </w:pPr>
            <w:bookmarkStart w:id="32" w:name="屋顶ρ"/>
            <w:r>
              <w:rPr>
                <w:rFonts w:hint="eastAsia"/>
              </w:rPr>
              <w:t>0.70</w:t>
            </w:r>
            <w:bookmarkEnd w:id="32"/>
          </w:p>
        </w:tc>
      </w:tr>
      <w:tr w14:paraId="52ED1C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5104C6CE">
            <w:pPr>
              <w:pStyle w:val="3"/>
              <w:ind w:firstLine="0" w:firstLineChars="0"/>
            </w:pPr>
            <w:r>
              <w:rPr>
                <w:rFonts w:hint="eastAsia"/>
              </w:rPr>
              <w:t>控温期</w:t>
            </w:r>
          </w:p>
        </w:tc>
        <w:tc>
          <w:tcPr>
            <w:tcW w:w="6231" w:type="dxa"/>
            <w:gridSpan w:val="2"/>
          </w:tcPr>
          <w:p w14:paraId="3F4B9DAF">
            <w:pPr>
              <w:pStyle w:val="3"/>
              <w:ind w:firstLine="0" w:firstLineChars="0"/>
            </w:pPr>
            <w:bookmarkStart w:id="33" w:name="控温期"/>
            <w:r>
              <w:t>供冷期:5.15~9.15,供暖期:11.15~3.15</w:t>
            </w:r>
            <w:bookmarkEnd w:id="33"/>
          </w:p>
        </w:tc>
      </w:tr>
    </w:tbl>
    <w:p w14:paraId="16707474">
      <w:pPr>
        <w:pStyle w:val="3"/>
        <w:ind w:firstLine="420"/>
        <w:rPr>
          <w:rFonts w:hint="eastAsia" w:ascii="微软雅黑" w:hAnsi="微软雅黑" w:eastAsia="微软雅黑"/>
          <w:lang w:val="en-US"/>
        </w:rPr>
      </w:pPr>
      <w:bookmarkStart w:id="116" w:name="_GoBack"/>
      <w:bookmarkEnd w:id="116"/>
    </w:p>
    <w:p w14:paraId="0C428E56">
      <w:pPr>
        <w:pStyle w:val="3"/>
        <w:ind w:firstLine="420"/>
        <w:rPr>
          <w:lang w:val="en-US"/>
        </w:rPr>
      </w:pPr>
    </w:p>
    <w:p w14:paraId="705B2E83">
      <w:pPr>
        <w:pStyle w:val="4"/>
        <w:spacing w:before="156"/>
        <w:rPr>
          <w:rFonts w:hint="eastAsia"/>
        </w:rPr>
      </w:pPr>
      <w:bookmarkStart w:id="34" w:name="_Toc452108761"/>
      <w:bookmarkStart w:id="35" w:name="_Toc44772816"/>
      <w:bookmarkStart w:id="36" w:name="_Toc26932"/>
      <w:bookmarkStart w:id="37" w:name="_Toc44662464"/>
      <w:r>
        <w:rPr>
          <w:rFonts w:hint="eastAsia"/>
        </w:rPr>
        <w:t>三</w:t>
      </w:r>
      <w:r>
        <w:t>维视图</w:t>
      </w:r>
      <w:bookmarkEnd w:id="34"/>
      <w:bookmarkEnd w:id="35"/>
      <w:bookmarkEnd w:id="36"/>
      <w:bookmarkEnd w:id="37"/>
    </w:p>
    <w:p w14:paraId="735B31C3">
      <w:pPr>
        <w:widowControl w:val="0"/>
        <w:jc w:val="center"/>
      </w:pPr>
      <w:bookmarkStart w:id="38" w:name="TitleFormat"/>
      <w:bookmarkStart w:id="39" w:name="_Toc44662465"/>
      <w:bookmarkStart w:id="40" w:name="_Toc44772817"/>
      <w:bookmarkStart w:id="41" w:name="_Toc452108762"/>
      <w:bookmarkStart w:id="42" w:name="_Toc22429"/>
      <w:r>
        <w:drawing>
          <wp:inline distT="0" distB="0" distL="0" distR="0">
            <wp:extent cx="5667375" cy="4057650"/>
            <wp:effectExtent l="0" t="0" r="952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10"/>
                    <a:stretch>
                      <a:fillRect/>
                    </a:stretch>
                  </pic:blipFill>
                  <pic:spPr>
                    <a:xfrm>
                      <a:off x="0" y="0"/>
                      <a:ext cx="5667375" cy="4057650"/>
                    </a:xfrm>
                    <a:prstGeom prst="rect">
                      <a:avLst/>
                    </a:prstGeom>
                  </pic:spPr>
                </pic:pic>
              </a:graphicData>
            </a:graphic>
          </wp:inline>
        </w:drawing>
      </w:r>
    </w:p>
    <w:p w14:paraId="1BB2E970">
      <w:pPr>
        <w:widowControl w:val="0"/>
        <w:jc w:val="center"/>
      </w:pPr>
      <w:r>
        <w:t>西南轴侧图</w:t>
      </w:r>
    </w:p>
    <w:p w14:paraId="5FDAE25F">
      <w:pPr>
        <w:widowControl w:val="0"/>
        <w:jc w:val="center"/>
      </w:pPr>
      <w:r>
        <w:drawing>
          <wp:inline distT="0" distB="0" distL="0" distR="0">
            <wp:extent cx="5667375" cy="4057650"/>
            <wp:effectExtent l="0" t="0" r="952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11"/>
                    <a:stretch>
                      <a:fillRect/>
                    </a:stretch>
                  </pic:blipFill>
                  <pic:spPr>
                    <a:xfrm>
                      <a:off x="0" y="0"/>
                      <a:ext cx="5667375" cy="4057650"/>
                    </a:xfrm>
                    <a:prstGeom prst="rect">
                      <a:avLst/>
                    </a:prstGeom>
                  </pic:spPr>
                </pic:pic>
              </a:graphicData>
            </a:graphic>
          </wp:inline>
        </w:drawing>
      </w:r>
    </w:p>
    <w:p w14:paraId="05C79401">
      <w:pPr>
        <w:widowControl w:val="0"/>
        <w:jc w:val="center"/>
      </w:pPr>
      <w:r>
        <w:t>东北轴侧图</w:t>
      </w:r>
    </w:p>
    <w:p w14:paraId="60A7C66D">
      <w:pPr>
        <w:widowControl w:val="0"/>
        <w:jc w:val="center"/>
      </w:pPr>
      <w:r>
        <w:drawing>
          <wp:inline distT="0" distB="0" distL="0" distR="0">
            <wp:extent cx="5667375" cy="4057650"/>
            <wp:effectExtent l="0" t="0" r="952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12"/>
                    <a:stretch>
                      <a:fillRect/>
                    </a:stretch>
                  </pic:blipFill>
                  <pic:spPr>
                    <a:xfrm>
                      <a:off x="0" y="0"/>
                      <a:ext cx="5667375" cy="4057650"/>
                    </a:xfrm>
                    <a:prstGeom prst="rect">
                      <a:avLst/>
                    </a:prstGeom>
                  </pic:spPr>
                </pic:pic>
              </a:graphicData>
            </a:graphic>
          </wp:inline>
        </w:drawing>
      </w:r>
    </w:p>
    <w:p w14:paraId="56C9552E">
      <w:pPr>
        <w:widowControl w:val="0"/>
        <w:jc w:val="center"/>
      </w:pPr>
      <w:r>
        <w:t>前视图</w:t>
      </w:r>
    </w:p>
    <w:p w14:paraId="4A53362B">
      <w:pPr>
        <w:widowControl w:val="0"/>
        <w:jc w:val="center"/>
      </w:pPr>
      <w:r>
        <w:drawing>
          <wp:inline distT="0" distB="0" distL="0" distR="0">
            <wp:extent cx="5667375" cy="4057650"/>
            <wp:effectExtent l="0" t="0" r="952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13"/>
                    <a:stretch>
                      <a:fillRect/>
                    </a:stretch>
                  </pic:blipFill>
                  <pic:spPr>
                    <a:xfrm>
                      <a:off x="0" y="0"/>
                      <a:ext cx="5667375" cy="4057650"/>
                    </a:xfrm>
                    <a:prstGeom prst="rect">
                      <a:avLst/>
                    </a:prstGeom>
                  </pic:spPr>
                </pic:pic>
              </a:graphicData>
            </a:graphic>
          </wp:inline>
        </w:drawing>
      </w:r>
    </w:p>
    <w:p w14:paraId="76F3BB54">
      <w:pPr>
        <w:widowControl w:val="0"/>
        <w:jc w:val="center"/>
      </w:pPr>
      <w:r>
        <w:t>后视图</w:t>
      </w:r>
    </w:p>
    <w:p w14:paraId="0DBA1FE1">
      <w:pPr>
        <w:pStyle w:val="2"/>
        <w:spacing w:before="312"/>
        <w:rPr>
          <w:rFonts w:hint="eastAsia"/>
        </w:rPr>
      </w:pPr>
      <w:r>
        <w:rPr>
          <w:rFonts w:hint="eastAsia"/>
        </w:rPr>
        <w:t>计算</w:t>
      </w:r>
      <w:r>
        <w:t>依据</w:t>
      </w:r>
      <w:bookmarkEnd w:id="38"/>
      <w:bookmarkEnd w:id="39"/>
      <w:bookmarkEnd w:id="40"/>
      <w:bookmarkEnd w:id="41"/>
      <w:bookmarkEnd w:id="42"/>
    </w:p>
    <w:p w14:paraId="3865BD6D">
      <w:pPr>
        <w:pStyle w:val="3"/>
        <w:spacing w:line="400" w:lineRule="exact"/>
        <w:ind w:firstLine="199" w:firstLineChars="95"/>
        <w:rPr>
          <w:rFonts w:hint="eastAsia" w:ascii="微软雅黑" w:hAnsi="微软雅黑" w:eastAsia="微软雅黑"/>
          <w:lang w:val="en-US"/>
        </w:rPr>
      </w:pPr>
      <w:bookmarkStart w:id="43" w:name="_Toc452108763"/>
      <w:r>
        <w:rPr>
          <w:rFonts w:hint="eastAsia" w:ascii="微软雅黑" w:hAnsi="微软雅黑" w:eastAsia="微软雅黑"/>
          <w:lang w:val="en-US"/>
        </w:rPr>
        <w:t>本项目主要参照资料为：</w:t>
      </w:r>
    </w:p>
    <w:p w14:paraId="3220CB66">
      <w:pPr>
        <w:pStyle w:val="3"/>
        <w:numPr>
          <w:ilvl w:val="0"/>
          <w:numId w:val="2"/>
        </w:numPr>
        <w:spacing w:line="400" w:lineRule="exact"/>
        <w:ind w:left="0" w:firstLine="200" w:firstLineChars="0"/>
        <w:rPr>
          <w:rFonts w:hint="eastAsia" w:ascii="微软雅黑" w:hAnsi="微软雅黑" w:eastAsia="微软雅黑"/>
          <w:lang w:val="en-US"/>
        </w:rPr>
      </w:pPr>
      <w:bookmarkStart w:id="44" w:name="参考标准名称1"/>
      <w:r>
        <w:rPr>
          <w:rFonts w:hint="eastAsia" w:ascii="微软雅黑" w:hAnsi="微软雅黑" w:eastAsia="微软雅黑"/>
          <w:lang w:val="en-US"/>
        </w:rPr>
        <w:t>《绿色建筑评价标准》GB/T 50378-2019（2024年版）</w:t>
      </w:r>
      <w:bookmarkEnd w:id="44"/>
    </w:p>
    <w:p w14:paraId="2F27E8DD">
      <w:pPr>
        <w:pStyle w:val="3"/>
        <w:numPr>
          <w:ilvl w:val="0"/>
          <w:numId w:val="2"/>
        </w:numPr>
        <w:spacing w:line="400" w:lineRule="exact"/>
        <w:ind w:left="0" w:firstLine="200" w:firstLineChars="0"/>
        <w:rPr>
          <w:rFonts w:hint="eastAsia" w:ascii="微软雅黑" w:hAnsi="微软雅黑" w:eastAsia="微软雅黑"/>
          <w:lang w:val="en-US"/>
        </w:rPr>
      </w:pPr>
      <w:r>
        <w:rPr>
          <w:rFonts w:hint="eastAsia" w:ascii="微软雅黑" w:hAnsi="微软雅黑" w:eastAsia="微软雅黑"/>
          <w:lang w:val="en-US"/>
        </w:rPr>
        <w:t>《绿色建筑评价技术细则》</w:t>
      </w:r>
    </w:p>
    <w:p w14:paraId="291D33D6">
      <w:pPr>
        <w:pStyle w:val="3"/>
        <w:numPr>
          <w:ilvl w:val="0"/>
          <w:numId w:val="2"/>
        </w:numPr>
        <w:spacing w:line="400" w:lineRule="exact"/>
        <w:ind w:left="0" w:firstLine="200" w:firstLineChars="0"/>
        <w:rPr>
          <w:rFonts w:hint="eastAsia" w:ascii="微软雅黑" w:hAnsi="微软雅黑" w:eastAsia="微软雅黑"/>
          <w:lang w:val="en-US"/>
        </w:rPr>
      </w:pPr>
      <w:bookmarkStart w:id="45" w:name="_Hlk13496340"/>
      <w:r>
        <w:rPr>
          <w:rFonts w:hint="eastAsia" w:ascii="微软雅黑" w:hAnsi="微软雅黑" w:eastAsia="微软雅黑"/>
          <w:lang w:val="en-US"/>
        </w:rPr>
        <w:t>《民用建筑室内热湿环境评价标准》</w:t>
      </w:r>
      <w:r>
        <w:rPr>
          <w:rFonts w:ascii="微软雅黑" w:hAnsi="微软雅黑" w:eastAsia="微软雅黑"/>
          <w:lang w:val="en-US"/>
        </w:rPr>
        <w:t>GB/T 50785-2012</w:t>
      </w:r>
    </w:p>
    <w:p w14:paraId="605A7281">
      <w:pPr>
        <w:pStyle w:val="3"/>
        <w:numPr>
          <w:ilvl w:val="0"/>
          <w:numId w:val="2"/>
        </w:numPr>
        <w:spacing w:line="400" w:lineRule="exact"/>
        <w:ind w:left="0" w:firstLine="200" w:firstLineChars="0"/>
        <w:rPr>
          <w:rFonts w:hint="eastAsia" w:ascii="微软雅黑" w:hAnsi="微软雅黑" w:eastAsia="微软雅黑"/>
          <w:lang w:val="en-US"/>
        </w:rPr>
      </w:pPr>
      <w:r>
        <w:rPr>
          <w:rFonts w:hint="eastAsia" w:ascii="微软雅黑" w:hAnsi="微软雅黑" w:eastAsia="微软雅黑"/>
          <w:lang w:val="en-US"/>
        </w:rPr>
        <w:t xml:space="preserve">《热环境人类工效学 </w:t>
      </w:r>
      <w:r>
        <w:rPr>
          <w:rFonts w:ascii="微软雅黑" w:hAnsi="微软雅黑" w:eastAsia="微软雅黑"/>
          <w:lang w:val="en-US"/>
        </w:rPr>
        <w:t xml:space="preserve"> </w:t>
      </w:r>
      <w:r>
        <w:rPr>
          <w:rFonts w:hint="eastAsia" w:ascii="微软雅黑" w:hAnsi="微软雅黑" w:eastAsia="微软雅黑"/>
          <w:lang w:val="en-US"/>
        </w:rPr>
        <w:t>通过计算PMV和PPD指数与局部热舒适准则对热舒适进行分析测定与解释》</w:t>
      </w:r>
      <w:r>
        <w:rPr>
          <w:rFonts w:ascii="微软雅黑" w:hAnsi="微软雅黑" w:eastAsia="微软雅黑"/>
          <w:lang w:val="en-US"/>
        </w:rPr>
        <w:t>GB/T18049-2017</w:t>
      </w:r>
    </w:p>
    <w:bookmarkEnd w:id="45"/>
    <w:p w14:paraId="08E7AFEF">
      <w:pPr>
        <w:pStyle w:val="3"/>
        <w:numPr>
          <w:ilvl w:val="0"/>
          <w:numId w:val="2"/>
        </w:numPr>
        <w:spacing w:line="400" w:lineRule="exact"/>
        <w:ind w:left="0" w:firstLine="200" w:firstLineChars="0"/>
        <w:rPr>
          <w:rFonts w:hint="eastAsia" w:ascii="微软雅黑" w:hAnsi="微软雅黑" w:eastAsia="微软雅黑"/>
          <w:lang w:val="en-US"/>
        </w:rPr>
      </w:pPr>
      <w:r>
        <w:rPr>
          <w:rFonts w:hint="eastAsia" w:ascii="微软雅黑" w:hAnsi="微软雅黑" w:eastAsia="微软雅黑"/>
          <w:lang w:val="en-US"/>
        </w:rPr>
        <w:t>《民用建筑供暖通风与空气调节设计规范》</w:t>
      </w:r>
      <w:r>
        <w:rPr>
          <w:rFonts w:ascii="微软雅黑" w:hAnsi="微软雅黑" w:eastAsia="微软雅黑"/>
          <w:lang w:val="en-US"/>
        </w:rPr>
        <w:t>GB50736-2012</w:t>
      </w:r>
    </w:p>
    <w:p w14:paraId="3B551AF9">
      <w:pPr>
        <w:pStyle w:val="3"/>
        <w:numPr>
          <w:ilvl w:val="0"/>
          <w:numId w:val="2"/>
        </w:numPr>
        <w:spacing w:line="400" w:lineRule="exact"/>
        <w:ind w:left="0" w:firstLine="200" w:firstLineChars="0"/>
        <w:rPr>
          <w:rFonts w:hint="eastAsia" w:ascii="微软雅黑" w:hAnsi="微软雅黑" w:eastAsia="微软雅黑"/>
          <w:lang w:val="en-US"/>
        </w:rPr>
      </w:pPr>
      <w:r>
        <w:rPr>
          <w:rFonts w:hint="eastAsia" w:ascii="微软雅黑" w:hAnsi="微软雅黑" w:eastAsia="微软雅黑"/>
          <w:lang w:val="en-US"/>
        </w:rPr>
        <w:t>《民用建筑热工设计规范》</w:t>
      </w:r>
      <w:r>
        <w:rPr>
          <w:rFonts w:ascii="微软雅黑" w:hAnsi="微软雅黑" w:eastAsia="微软雅黑"/>
          <w:lang w:val="en-US"/>
        </w:rPr>
        <w:t>GB 50176-2016</w:t>
      </w:r>
      <w:bookmarkStart w:id="46" w:name="_Hlk13516321"/>
    </w:p>
    <w:bookmarkEnd w:id="46"/>
    <w:p w14:paraId="4AF8904F">
      <w:pPr>
        <w:pStyle w:val="3"/>
        <w:numPr>
          <w:ilvl w:val="0"/>
          <w:numId w:val="2"/>
        </w:numPr>
        <w:spacing w:line="400" w:lineRule="exact"/>
        <w:ind w:left="0" w:firstLine="200" w:firstLineChars="0"/>
        <w:rPr>
          <w:rFonts w:hint="eastAsia" w:ascii="微软雅黑" w:hAnsi="微软雅黑" w:eastAsia="微软雅黑"/>
          <w:lang w:val="en-US"/>
        </w:rPr>
      </w:pPr>
      <w:r>
        <w:rPr>
          <w:rFonts w:hint="eastAsia" w:ascii="微软雅黑" w:hAnsi="微软雅黑" w:eastAsia="微软雅黑"/>
          <w:lang w:val="en-US"/>
        </w:rPr>
        <w:t>委托方提供的总平面图、建筑专业设计图纸、设计效果图等图纸资料</w:t>
      </w:r>
    </w:p>
    <w:p w14:paraId="3CC4F5F9">
      <w:pPr>
        <w:pStyle w:val="3"/>
        <w:numPr>
          <w:ilvl w:val="0"/>
          <w:numId w:val="2"/>
        </w:numPr>
        <w:spacing w:line="400" w:lineRule="exact"/>
        <w:ind w:left="0" w:firstLine="200" w:firstLineChars="0"/>
        <w:rPr>
          <w:rFonts w:hint="eastAsia" w:ascii="微软雅黑" w:hAnsi="微软雅黑" w:eastAsia="微软雅黑"/>
          <w:lang w:val="en-US"/>
        </w:rPr>
      </w:pPr>
      <w:r>
        <w:rPr>
          <w:rFonts w:hint="eastAsia" w:ascii="微软雅黑" w:hAnsi="微软雅黑" w:eastAsia="微软雅黑"/>
          <w:lang w:val="en-US"/>
        </w:rPr>
        <w:t xml:space="preserve"> 委托方提供的其他相关资料</w:t>
      </w:r>
    </w:p>
    <w:p w14:paraId="6B1D320A">
      <w:pPr>
        <w:pStyle w:val="2"/>
        <w:spacing w:before="312"/>
        <w:rPr>
          <w:rFonts w:hint="eastAsia"/>
        </w:rPr>
      </w:pPr>
      <w:bookmarkStart w:id="47" w:name="_Toc44662466"/>
      <w:bookmarkStart w:id="48" w:name="_Toc19244"/>
      <w:bookmarkStart w:id="49" w:name="_Toc44772818"/>
      <w:r>
        <w:rPr>
          <w:rFonts w:hint="eastAsia"/>
        </w:rPr>
        <w:t>参考</w:t>
      </w:r>
      <w:r>
        <w:t>标准</w:t>
      </w:r>
      <w:bookmarkEnd w:id="43"/>
      <w:bookmarkEnd w:id="47"/>
      <w:bookmarkEnd w:id="48"/>
      <w:bookmarkEnd w:id="49"/>
    </w:p>
    <w:p w14:paraId="5A1588A4">
      <w:pPr>
        <w:pStyle w:val="3"/>
        <w:spacing w:line="400" w:lineRule="exact"/>
        <w:ind w:firstLine="420"/>
        <w:rPr>
          <w:rFonts w:hint="eastAsia" w:ascii="微软雅黑" w:hAnsi="微软雅黑" w:eastAsia="微软雅黑"/>
          <w:lang w:val="en-US"/>
        </w:rPr>
      </w:pPr>
      <w:bookmarkStart w:id="50" w:name="_Toc452108764"/>
      <w:bookmarkStart w:id="51" w:name="_Toc451698935"/>
      <w:bookmarkStart w:id="52" w:name="_Toc44662467"/>
      <w:bookmarkStart w:id="53" w:name="_Toc44772819"/>
      <w:r>
        <w:rPr>
          <w:rFonts w:hint="eastAsia" w:ascii="微软雅黑" w:hAnsi="微软雅黑" w:eastAsia="微软雅黑"/>
          <w:lang w:val="en-US"/>
        </w:rPr>
        <w:t>室内热湿环境评价的主要依据为</w:t>
      </w:r>
      <w:bookmarkStart w:id="54" w:name="参考标准名称2"/>
      <w:r>
        <w:rPr>
          <w:rFonts w:hint="eastAsia" w:ascii="微软雅黑" w:hAnsi="微软雅黑" w:eastAsia="微软雅黑"/>
          <w:lang w:val="en-US"/>
        </w:rPr>
        <w:t>《绿色建筑评价标准》GB/T 50378-2019（2024年版）</w:t>
      </w:r>
      <w:bookmarkEnd w:id="54"/>
      <w:r>
        <w:rPr>
          <w:rFonts w:hint="eastAsia" w:ascii="微软雅黑" w:hAnsi="微软雅黑" w:eastAsia="微软雅黑"/>
          <w:lang w:val="en-US"/>
        </w:rPr>
        <w:t>中5.2.9条第2款的要求，具体评分规则如下：</w:t>
      </w:r>
    </w:p>
    <w:p w14:paraId="0727E1B6">
      <w:pPr>
        <w:pStyle w:val="3"/>
        <w:spacing w:line="400" w:lineRule="exact"/>
        <w:ind w:firstLine="420"/>
        <w:rPr>
          <w:rFonts w:hint="eastAsia" w:ascii="微软雅黑" w:hAnsi="微软雅黑" w:eastAsia="微软雅黑"/>
          <w:lang w:val="en-US"/>
        </w:rPr>
      </w:pPr>
      <w:r>
        <w:rPr>
          <w:rFonts w:ascii="微软雅黑" w:hAnsi="微软雅黑" w:eastAsia="微软雅黑"/>
          <w:lang w:val="en-US"/>
        </w:rPr>
        <w:t xml:space="preserve">2 </w:t>
      </w:r>
      <w:r>
        <w:rPr>
          <w:rFonts w:hint="eastAsia" w:ascii="微软雅黑" w:hAnsi="微软雅黑" w:eastAsia="微软雅黑"/>
          <w:u w:val="single"/>
          <w:lang w:val="en-US"/>
        </w:rPr>
        <w:t>建筑主要功能房间供暖、空调工况下室内热环境参数</w:t>
      </w:r>
      <w:r>
        <w:rPr>
          <w:rFonts w:hint="eastAsia" w:ascii="微软雅黑" w:hAnsi="微软雅黑" w:eastAsia="微软雅黑"/>
          <w:lang w:val="en-US"/>
        </w:rPr>
        <w:t>达到现行国家标准《民用建筑室内热湿环境评价标准》GB/T50785规定的室内人工冷热源热湿环境整体评价</w:t>
      </w:r>
      <w:r>
        <w:rPr>
          <w:rFonts w:ascii="微软雅黑" w:hAnsi="微软雅黑" w:eastAsia="微软雅黑"/>
          <w:lang w:val="en-US"/>
        </w:rPr>
        <w:fldChar w:fldCharType="begin"/>
      </w:r>
      <w:r>
        <w:rPr>
          <w:rFonts w:ascii="微软雅黑" w:hAnsi="微软雅黑" w:eastAsia="微软雅黑"/>
          <w:lang w:val="en-US"/>
        </w:rPr>
        <w:instrText xml:space="preserve"> </w:instrText>
      </w:r>
      <w:r>
        <w:rPr>
          <w:rFonts w:hint="eastAsia" w:ascii="微软雅黑" w:hAnsi="微软雅黑" w:eastAsia="微软雅黑"/>
          <w:lang w:val="en-US"/>
        </w:rPr>
        <w:instrText xml:space="preserve">= 2 \* ROMAN</w:instrText>
      </w:r>
      <w:r>
        <w:rPr>
          <w:rFonts w:ascii="微软雅黑" w:hAnsi="微软雅黑" w:eastAsia="微软雅黑"/>
          <w:lang w:val="en-US"/>
        </w:rPr>
        <w:instrText xml:space="preserve"> </w:instrText>
      </w:r>
      <w:r>
        <w:rPr>
          <w:rFonts w:ascii="微软雅黑" w:hAnsi="微软雅黑" w:eastAsia="微软雅黑"/>
          <w:lang w:val="en-US"/>
        </w:rPr>
        <w:fldChar w:fldCharType="separate"/>
      </w:r>
      <w:r>
        <w:rPr>
          <w:rFonts w:hint="eastAsia" w:ascii="微软雅黑" w:hAnsi="微软雅黑" w:eastAsia="微软雅黑"/>
          <w:lang w:val="en-US"/>
        </w:rPr>
        <w:t>II</w:t>
      </w:r>
      <w:r>
        <w:rPr>
          <w:rFonts w:ascii="微软雅黑" w:hAnsi="微软雅黑" w:eastAsia="微软雅黑"/>
          <w:lang w:val="en-US"/>
        </w:rPr>
        <w:fldChar w:fldCharType="end"/>
      </w:r>
      <w:r>
        <w:rPr>
          <w:rFonts w:hint="eastAsia" w:ascii="微软雅黑" w:hAnsi="微软雅黑" w:eastAsia="微软雅黑"/>
          <w:lang w:val="en-US"/>
        </w:rPr>
        <w:t>级的面积比例，达到60%, 得5分；每再增加10%, 再得1 分，最高得8分。</w:t>
      </w:r>
    </w:p>
    <w:p w14:paraId="200AA656">
      <w:pPr>
        <w:pStyle w:val="2"/>
        <w:spacing w:before="312"/>
        <w:rPr>
          <w:rFonts w:hint="eastAsia"/>
        </w:rPr>
      </w:pPr>
      <w:bookmarkStart w:id="55" w:name="_Toc27599"/>
      <w:r>
        <w:rPr>
          <w:rFonts w:hint="eastAsia"/>
        </w:rPr>
        <w:t>计算</w:t>
      </w:r>
      <w:bookmarkEnd w:id="50"/>
      <w:bookmarkEnd w:id="51"/>
      <w:r>
        <w:rPr>
          <w:rFonts w:hint="eastAsia"/>
        </w:rPr>
        <w:t>方法</w:t>
      </w:r>
      <w:bookmarkEnd w:id="52"/>
      <w:bookmarkEnd w:id="53"/>
      <w:bookmarkEnd w:id="55"/>
    </w:p>
    <w:p w14:paraId="539BF2F4">
      <w:pPr>
        <w:pStyle w:val="3"/>
        <w:spacing w:line="400" w:lineRule="exact"/>
        <w:ind w:firstLine="420"/>
        <w:rPr>
          <w:rFonts w:hint="eastAsia" w:ascii="微软雅黑" w:hAnsi="微软雅黑" w:eastAsia="微软雅黑"/>
          <w:lang w:val="en-US"/>
        </w:rPr>
      </w:pPr>
      <w:r>
        <w:rPr>
          <w:rFonts w:hint="eastAsia" w:ascii="微软雅黑" w:hAnsi="微软雅黑" w:eastAsia="微软雅黑"/>
          <w:lang w:val="en-US"/>
        </w:rPr>
        <w:t>本项目首先采用室内热湿环境参数、人体代谢及做功、服装热阻参数计算出室内热湿环境参数相关指标，并进行达标计算。</w:t>
      </w:r>
    </w:p>
    <w:p w14:paraId="20C45FF2">
      <w:pPr>
        <w:pStyle w:val="4"/>
        <w:spacing w:before="156"/>
        <w:rPr>
          <w:rFonts w:hint="eastAsia"/>
        </w:rPr>
      </w:pPr>
      <w:bookmarkStart w:id="56" w:name="_Toc44662472"/>
      <w:bookmarkStart w:id="57" w:name="_Toc44772820"/>
      <w:bookmarkStart w:id="58" w:name="_Toc12512"/>
      <w:r>
        <w:rPr>
          <w:rFonts w:hint="eastAsia"/>
        </w:rPr>
        <w:t>热湿环境评价</w:t>
      </w:r>
      <w:r>
        <w:t>指标</w:t>
      </w:r>
      <w:r>
        <w:rPr>
          <w:rFonts w:hint="eastAsia"/>
        </w:rPr>
        <w:t>计算</w:t>
      </w:r>
      <w:bookmarkEnd w:id="56"/>
      <w:bookmarkEnd w:id="57"/>
      <w:bookmarkEnd w:id="58"/>
    </w:p>
    <w:p w14:paraId="28A19092">
      <w:pPr>
        <w:pStyle w:val="3"/>
        <w:spacing w:line="400" w:lineRule="exact"/>
        <w:ind w:firstLine="420"/>
        <w:rPr>
          <w:rFonts w:hint="eastAsia" w:ascii="微软雅黑" w:hAnsi="微软雅黑" w:eastAsia="微软雅黑"/>
          <w:lang w:val="zh-CN"/>
        </w:rPr>
      </w:pPr>
      <w:r>
        <w:rPr>
          <w:rFonts w:ascii="微软雅黑" w:hAnsi="微软雅黑" w:eastAsia="微软雅黑"/>
          <w:lang w:val="zh-CN"/>
        </w:rPr>
        <w:t>人类的热感觉主要与其全身热平衡有关。这种平衡不仅受空气温度、平均辐射温度、风速和空气湿度等环境参数影响，还受人体活动和着装的影响。对这些参数估算或测量后，人的整体热感觉可以通过计算预计平均热感觉指数（PMV）进行预测</w:t>
      </w:r>
      <w:r>
        <w:rPr>
          <w:rFonts w:hint="eastAsia" w:ascii="微软雅黑" w:hAnsi="微软雅黑" w:eastAsia="微软雅黑"/>
          <w:lang w:val="zh-CN"/>
        </w:rPr>
        <w:t>。</w:t>
      </w:r>
    </w:p>
    <w:p w14:paraId="5933F9B8">
      <w:pPr>
        <w:pStyle w:val="3"/>
        <w:spacing w:line="400" w:lineRule="exact"/>
        <w:ind w:firstLine="420"/>
        <w:rPr>
          <w:rFonts w:hint="eastAsia" w:ascii="微软雅黑" w:hAnsi="微软雅黑" w:eastAsia="微软雅黑"/>
          <w:lang w:val="en-US"/>
        </w:rPr>
      </w:pPr>
      <w:r>
        <w:rPr>
          <w:rFonts w:hint="eastAsia" w:ascii="微软雅黑" w:hAnsi="微软雅黑" w:eastAsia="微软雅黑"/>
          <w:lang w:val="en-US"/>
        </w:rPr>
        <w:t>预计平均热感觉指标</w:t>
      </w:r>
      <w:r>
        <w:rPr>
          <w:rFonts w:ascii="微软雅黑" w:hAnsi="微软雅黑" w:eastAsia="微软雅黑"/>
          <w:lang w:val="en-US"/>
        </w:rPr>
        <w:t>PMV</w:t>
      </w:r>
      <w:r>
        <w:rPr>
          <w:rFonts w:hint="eastAsia" w:ascii="微软雅黑" w:hAnsi="微软雅黑" w:eastAsia="微软雅黑"/>
          <w:lang w:val="en-US"/>
        </w:rPr>
        <w:t>（Pre</w:t>
      </w:r>
      <w:r>
        <w:rPr>
          <w:rFonts w:ascii="微软雅黑" w:hAnsi="微软雅黑" w:eastAsia="微软雅黑"/>
          <w:lang w:val="en-US"/>
        </w:rPr>
        <w:t>dict mean vote</w:t>
      </w:r>
      <w:r>
        <w:rPr>
          <w:rFonts w:hint="eastAsia" w:ascii="微软雅黑" w:hAnsi="微软雅黑" w:eastAsia="微软雅黑"/>
          <w:lang w:val="en-US"/>
        </w:rPr>
        <w:t>）为人群对热感觉等级投票的平均指数，根据人体热平衡的基本方程式以及心理和生理主观热感觉的等级为出发点，考虑了人体热舒适感的各种相关因素的全面评价指标。</w:t>
      </w:r>
      <w:bookmarkStart w:id="59" w:name="_Hlk13601794"/>
      <w:r>
        <w:rPr>
          <w:rFonts w:hint="eastAsia" w:ascii="微软雅黑" w:hAnsi="微软雅黑" w:eastAsia="微软雅黑"/>
          <w:lang w:val="en-US"/>
        </w:rPr>
        <w:t>本项目采用《民用建筑室内热湿环境评价标准》GB/T 50785-2012中所示的计算程序完成上述PMV的计算。</w:t>
      </w:r>
    </w:p>
    <w:p w14:paraId="39FFE907">
      <w:pPr>
        <w:pStyle w:val="5"/>
        <w:spacing w:before="156"/>
        <w:rPr>
          <w:rFonts w:hint="eastAsia"/>
        </w:rPr>
      </w:pPr>
      <w:bookmarkStart w:id="60" w:name="_Toc44662473"/>
      <w:bookmarkStart w:id="61" w:name="_Toc44772821"/>
      <w:r>
        <w:t>PMV</w:t>
      </w:r>
      <w:r>
        <w:rPr>
          <w:rFonts w:hint="eastAsia"/>
        </w:rPr>
        <w:t>计算公式</w:t>
      </w:r>
      <w:bookmarkEnd w:id="60"/>
      <w:bookmarkEnd w:id="61"/>
    </w:p>
    <w:bookmarkEnd w:id="59"/>
    <w:p w14:paraId="299B7B93">
      <w:pPr>
        <w:rPr>
          <w:lang w:val="en-US"/>
        </w:rPr>
      </w:pPr>
      <w:r>
        <w:rPr>
          <w:lang w:val="en-US"/>
        </w:rPr>
        <w:t xml:space="preserve">   </w:t>
      </w:r>
      <w:r>
        <w:rPr>
          <w:rFonts w:hint="eastAsia"/>
          <w:lang w:val="en-US"/>
        </w:rPr>
        <w:t xml:space="preserve"> </w:t>
      </w:r>
      <w:r>
        <w:rPr>
          <w:lang w:val="en-US"/>
        </w:rPr>
        <w:t xml:space="preserve"> </w:t>
      </w:r>
      <w:r>
        <w:rPr>
          <w:lang w:val="en-US"/>
        </w:rPr>
        <w:drawing>
          <wp:inline distT="0" distB="0" distL="0" distR="0">
            <wp:extent cx="5591175" cy="2762250"/>
            <wp:effectExtent l="0" t="0" r="8890" b="7620"/>
            <wp:docPr id="45"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7"/>
                    <pic:cNvPicPr>
                      <a:picLocks noChangeAspect="1" noChangeArrowheads="1"/>
                    </pic:cNvPicPr>
                  </pic:nvPicPr>
                  <pic:blipFill>
                    <a:blip r:embed="rId14">
                      <a:extLst>
                        <a:ext uri="{28A0092B-C50C-407E-A947-70E740481C1C}">
                          <a14:useLocalDpi xmlns:a14="http://schemas.microsoft.com/office/drawing/2010/main" val="0"/>
                        </a:ext>
                      </a:extLst>
                    </a:blip>
                    <a:srcRect r="1077"/>
                    <a:stretch>
                      <a:fillRect/>
                    </a:stretch>
                  </pic:blipFill>
                  <pic:spPr>
                    <a:xfrm>
                      <a:off x="0" y="0"/>
                      <a:ext cx="5591175" cy="2762250"/>
                    </a:xfrm>
                    <a:prstGeom prst="rect">
                      <a:avLst/>
                    </a:prstGeom>
                    <a:noFill/>
                    <a:ln>
                      <a:noFill/>
                    </a:ln>
                  </pic:spPr>
                </pic:pic>
              </a:graphicData>
            </a:graphic>
          </wp:inline>
        </w:drawing>
      </w:r>
    </w:p>
    <w:p w14:paraId="4CE07B90">
      <w:pPr>
        <w:pStyle w:val="3"/>
        <w:spacing w:line="400" w:lineRule="exact"/>
        <w:ind w:firstLine="420"/>
        <w:rPr>
          <w:rFonts w:hint="eastAsia" w:ascii="微软雅黑" w:hAnsi="微软雅黑" w:eastAsia="微软雅黑"/>
          <w:lang w:val="en-US"/>
        </w:rPr>
      </w:pPr>
      <w:bookmarkStart w:id="62" w:name="_Toc44662474"/>
      <w:bookmarkStart w:id="63" w:name="_Toc44772822"/>
      <w:r>
        <w:rPr>
          <w:rFonts w:hint="eastAsia" w:ascii="微软雅黑" w:hAnsi="微软雅黑" w:eastAsia="微软雅黑"/>
          <w:lang w:val="en-US"/>
        </w:rPr>
        <w:t>式中：</w:t>
      </w:r>
    </w:p>
    <w:p w14:paraId="5AF10FE3">
      <w:pPr>
        <w:pStyle w:val="3"/>
        <w:spacing w:line="400" w:lineRule="exact"/>
        <w:ind w:firstLine="420" w:firstLineChars="0"/>
        <w:rPr>
          <w:rFonts w:hint="eastAsia" w:ascii="微软雅黑" w:hAnsi="微软雅黑" w:eastAsia="微软雅黑"/>
          <w:lang w:val="en-US"/>
        </w:rPr>
      </w:pPr>
      <w:r>
        <w:rPr>
          <w:rFonts w:ascii="微软雅黑" w:hAnsi="微软雅黑" w:eastAsia="微软雅黑"/>
          <w:lang w:val="en-US"/>
        </w:rPr>
        <w:t>PMV——</w:t>
      </w:r>
      <w:r>
        <w:rPr>
          <w:rFonts w:hint="eastAsia" w:ascii="微软雅黑" w:hAnsi="微软雅黑" w:eastAsia="微软雅黑"/>
          <w:lang w:val="en-US"/>
        </w:rPr>
        <w:t>预计平均热感觉指数；</w:t>
      </w:r>
    </w:p>
    <w:p w14:paraId="6CFB69BA">
      <w:pPr>
        <w:pStyle w:val="3"/>
        <w:spacing w:line="400" w:lineRule="exact"/>
        <w:ind w:firstLine="420" w:firstLineChars="0"/>
        <w:rPr>
          <w:rFonts w:hint="eastAsia" w:ascii="微软雅黑" w:hAnsi="微软雅黑" w:eastAsia="微软雅黑"/>
          <w:lang w:val="en-US"/>
        </w:rPr>
      </w:pPr>
      <w:r>
        <w:rPr>
          <w:rFonts w:ascii="微软雅黑" w:hAnsi="微软雅黑" w:eastAsia="微软雅黑"/>
          <w:lang w:val="en-US"/>
        </w:rPr>
        <w:t>M  ——</w:t>
      </w:r>
      <w:r>
        <w:rPr>
          <w:rFonts w:hint="eastAsia" w:ascii="微软雅黑" w:hAnsi="微软雅黑" w:eastAsia="微软雅黑"/>
          <w:lang w:val="en-US"/>
        </w:rPr>
        <w:t>代谢率（W</w:t>
      </w:r>
      <w:r>
        <w:rPr>
          <w:rFonts w:ascii="微软雅黑" w:hAnsi="微软雅黑" w:eastAsia="微软雅黑"/>
          <w:lang w:val="en-US"/>
        </w:rPr>
        <w:t>/m</w:t>
      </w:r>
      <w:r>
        <w:rPr>
          <w:rFonts w:ascii="微软雅黑" w:hAnsi="微软雅黑" w:eastAsia="微软雅黑"/>
          <w:vertAlign w:val="superscript"/>
          <w:lang w:val="en-US"/>
        </w:rPr>
        <w:t>2</w:t>
      </w:r>
      <w:r>
        <w:rPr>
          <w:rFonts w:hint="eastAsia" w:ascii="微软雅黑" w:hAnsi="微软雅黑" w:eastAsia="微软雅黑"/>
          <w:lang w:val="en-US"/>
        </w:rPr>
        <w:t>），参考附录B不同活动的代谢率；</w:t>
      </w:r>
    </w:p>
    <w:p w14:paraId="041404DA">
      <w:pPr>
        <w:pStyle w:val="3"/>
        <w:spacing w:line="400" w:lineRule="exact"/>
        <w:ind w:firstLine="420" w:firstLineChars="0"/>
        <w:rPr>
          <w:rFonts w:hint="eastAsia" w:ascii="微软雅黑" w:hAnsi="微软雅黑" w:eastAsia="微软雅黑"/>
          <w:lang w:val="en-US"/>
        </w:rPr>
      </w:pPr>
      <w:r>
        <w:rPr>
          <w:rFonts w:ascii="微软雅黑" w:hAnsi="微软雅黑" w:eastAsia="微软雅黑"/>
          <w:lang w:val="en-US"/>
        </w:rPr>
        <w:t>W  ——</w:t>
      </w:r>
      <w:r>
        <w:rPr>
          <w:rFonts w:hint="eastAsia" w:ascii="微软雅黑" w:hAnsi="微软雅黑" w:eastAsia="微软雅黑"/>
          <w:lang w:val="en-US"/>
        </w:rPr>
        <w:t>有效机械功率（W</w:t>
      </w:r>
      <w:r>
        <w:rPr>
          <w:rFonts w:ascii="微软雅黑" w:hAnsi="微软雅黑" w:eastAsia="微软雅黑"/>
          <w:lang w:val="en-US"/>
        </w:rPr>
        <w:t>/m</w:t>
      </w:r>
      <w:r>
        <w:rPr>
          <w:rFonts w:ascii="微软雅黑" w:hAnsi="微软雅黑" w:eastAsia="微软雅黑"/>
          <w:vertAlign w:val="superscript"/>
          <w:lang w:val="en-US"/>
        </w:rPr>
        <w:t>2</w:t>
      </w:r>
      <w:r>
        <w:rPr>
          <w:rFonts w:hint="eastAsia" w:ascii="微软雅黑" w:hAnsi="微软雅黑" w:eastAsia="微软雅黑"/>
          <w:lang w:val="en-US"/>
        </w:rPr>
        <w:t>），通常情况下可近似为零；</w:t>
      </w:r>
    </w:p>
    <w:p w14:paraId="0F0AD17A">
      <w:pPr>
        <w:pStyle w:val="3"/>
        <w:spacing w:line="400" w:lineRule="exact"/>
        <w:ind w:firstLine="420" w:firstLineChars="0"/>
        <w:rPr>
          <w:rFonts w:hint="eastAsia" w:ascii="微软雅黑" w:hAnsi="微软雅黑" w:eastAsia="微软雅黑"/>
          <w:lang w:val="en-US"/>
        </w:rPr>
      </w:pPr>
      <w:r>
        <w:rPr>
          <w:rFonts w:hint="eastAsia" w:ascii="微软雅黑" w:hAnsi="微软雅黑" w:eastAsia="微软雅黑"/>
          <w:i/>
          <w:iCs/>
          <w:lang w:val="en-US"/>
        </w:rPr>
        <w:t>l</w:t>
      </w:r>
      <w:r>
        <w:rPr>
          <w:rFonts w:ascii="微软雅黑" w:hAnsi="微软雅黑" w:eastAsia="微软雅黑"/>
          <w:vertAlign w:val="subscript"/>
          <w:lang w:val="en-US"/>
        </w:rPr>
        <w:t xml:space="preserve">cl   </w:t>
      </w:r>
      <w:r>
        <w:rPr>
          <w:rFonts w:ascii="微软雅黑" w:hAnsi="微软雅黑" w:eastAsia="微软雅黑"/>
          <w:lang w:val="en-US"/>
        </w:rPr>
        <w:t>——</w:t>
      </w:r>
      <w:r>
        <w:rPr>
          <w:rFonts w:hint="eastAsia" w:ascii="微软雅黑" w:hAnsi="微软雅黑" w:eastAsia="微软雅黑"/>
          <w:lang w:val="en-US"/>
        </w:rPr>
        <w:t>服装热阻（m</w:t>
      </w:r>
      <w:r>
        <w:rPr>
          <w:rFonts w:ascii="微软雅黑" w:hAnsi="微软雅黑" w:eastAsia="微软雅黑"/>
          <w:vertAlign w:val="superscript"/>
          <w:lang w:val="en-US"/>
        </w:rPr>
        <w:t>2</w:t>
      </w:r>
      <w:r>
        <w:rPr>
          <w:rFonts w:ascii="微软雅黑" w:hAnsi="微软雅黑" w:eastAsia="微软雅黑"/>
          <w:lang w:val="en-US"/>
        </w:rPr>
        <w:t>∙K/W</w:t>
      </w:r>
      <w:r>
        <w:rPr>
          <w:rFonts w:hint="eastAsia" w:ascii="微软雅黑" w:hAnsi="微软雅黑" w:eastAsia="微软雅黑"/>
          <w:lang w:val="en-US"/>
        </w:rPr>
        <w:t>），参考附录C服装组合热阻估算；</w:t>
      </w:r>
    </w:p>
    <w:p w14:paraId="2D12E43A">
      <w:pPr>
        <w:pStyle w:val="3"/>
        <w:spacing w:line="400" w:lineRule="exact"/>
        <w:ind w:firstLine="420" w:firstLineChars="0"/>
        <w:rPr>
          <w:rFonts w:hint="eastAsia" w:ascii="微软雅黑" w:hAnsi="微软雅黑" w:eastAsia="微软雅黑"/>
          <w:lang w:val="en-US"/>
        </w:rPr>
      </w:pPr>
      <w:r>
        <w:rPr>
          <w:rFonts w:ascii="微软雅黑" w:hAnsi="微软雅黑" w:eastAsia="微软雅黑"/>
          <w:i/>
          <w:iCs/>
          <w:lang w:val="en-US"/>
        </w:rPr>
        <w:t>f</w:t>
      </w:r>
      <w:r>
        <w:rPr>
          <w:rFonts w:ascii="微软雅黑" w:hAnsi="微软雅黑" w:eastAsia="微软雅黑"/>
          <w:vertAlign w:val="subscript"/>
          <w:lang w:val="en-US"/>
        </w:rPr>
        <w:t xml:space="preserve">cl   </w:t>
      </w:r>
      <w:r>
        <w:rPr>
          <w:rFonts w:ascii="微软雅黑" w:hAnsi="微软雅黑" w:eastAsia="微软雅黑"/>
          <w:lang w:val="en-US"/>
        </w:rPr>
        <w:t>——</w:t>
      </w:r>
      <w:r>
        <w:rPr>
          <w:rFonts w:hint="eastAsia" w:ascii="微软雅黑" w:hAnsi="微软雅黑" w:eastAsia="微软雅黑"/>
          <w:lang w:val="en-US"/>
        </w:rPr>
        <w:t>服装表面系数，通过公式（4）求解；</w:t>
      </w:r>
    </w:p>
    <w:p w14:paraId="48CA53AB">
      <w:pPr>
        <w:pStyle w:val="3"/>
        <w:spacing w:line="400" w:lineRule="exact"/>
        <w:ind w:firstLine="420" w:firstLineChars="0"/>
        <w:rPr>
          <w:rFonts w:hint="eastAsia" w:ascii="微软雅黑" w:hAnsi="微软雅黑" w:eastAsia="微软雅黑"/>
          <w:lang w:val="en-US"/>
        </w:rPr>
      </w:pPr>
      <w:r>
        <w:rPr>
          <w:rFonts w:ascii="微软雅黑" w:hAnsi="微软雅黑" w:eastAsia="微软雅黑"/>
          <w:i/>
          <w:iCs/>
          <w:lang w:val="en-US"/>
        </w:rPr>
        <w:t>t</w:t>
      </w:r>
      <w:r>
        <w:rPr>
          <w:rFonts w:ascii="微软雅黑" w:hAnsi="微软雅黑" w:eastAsia="微软雅黑"/>
          <w:vertAlign w:val="subscript"/>
          <w:lang w:val="en-US"/>
        </w:rPr>
        <w:t xml:space="preserve">a  </w:t>
      </w:r>
      <w:r>
        <w:rPr>
          <w:rFonts w:hint="eastAsia" w:ascii="微软雅黑" w:hAnsi="微软雅黑" w:eastAsia="微软雅黑"/>
          <w:vertAlign w:val="subscript"/>
          <w:lang w:val="en-US"/>
        </w:rPr>
        <w:t xml:space="preserve"> </w:t>
      </w:r>
      <w:r>
        <w:rPr>
          <w:rFonts w:ascii="微软雅黑" w:hAnsi="微软雅黑" w:eastAsia="微软雅黑"/>
          <w:vertAlign w:val="subscript"/>
          <w:lang w:val="en-US"/>
        </w:rPr>
        <w:t xml:space="preserve"> </w:t>
      </w:r>
      <w:r>
        <w:rPr>
          <w:rFonts w:ascii="微软雅黑" w:hAnsi="微软雅黑" w:eastAsia="微软雅黑"/>
          <w:lang w:val="en-US"/>
        </w:rPr>
        <w:t>——</w:t>
      </w:r>
      <w:r>
        <w:rPr>
          <w:rFonts w:hint="eastAsia" w:ascii="微软雅黑" w:hAnsi="微软雅黑" w:eastAsia="微软雅黑"/>
          <w:lang w:val="en-US"/>
        </w:rPr>
        <w:t>空气温度（℃），CF</w:t>
      </w:r>
      <w:r>
        <w:rPr>
          <w:rFonts w:ascii="微软雅黑" w:hAnsi="微软雅黑" w:eastAsia="微软雅黑"/>
          <w:lang w:val="en-US"/>
        </w:rPr>
        <w:t>D</w:t>
      </w:r>
      <w:r>
        <w:rPr>
          <w:rFonts w:hint="eastAsia" w:ascii="微软雅黑" w:hAnsi="微软雅黑" w:eastAsia="微软雅黑"/>
          <w:lang w:val="en-US"/>
        </w:rPr>
        <w:t>求解；</w:t>
      </w:r>
    </w:p>
    <w:p w14:paraId="14F8B5B8">
      <w:pPr>
        <w:pStyle w:val="3"/>
        <w:spacing w:line="400" w:lineRule="exact"/>
        <w:ind w:firstLine="420" w:firstLineChars="0"/>
        <w:rPr>
          <w:rFonts w:hint="eastAsia" w:ascii="微软雅黑" w:hAnsi="微软雅黑" w:eastAsia="微软雅黑"/>
          <w:lang w:val="en-US"/>
        </w:rPr>
      </w:pPr>
      <w:r>
        <w:rPr>
          <w:rFonts w:ascii="微软雅黑" w:hAnsi="微软雅黑" w:eastAsia="微软雅黑"/>
          <w:position w:val="-6"/>
        </w:rPr>
        <w:object>
          <v:shape id="_x0000_i1025" o:spt="75" type="#_x0000_t75" style="height:18.75pt;width:9.75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r>
        <w:rPr>
          <w:rFonts w:hint="eastAsia" w:ascii="微软雅黑" w:hAnsi="微软雅黑" w:eastAsia="微软雅黑"/>
        </w:rPr>
        <w:t xml:space="preserve">  </w:t>
      </w:r>
      <w:r>
        <w:rPr>
          <w:rFonts w:ascii="微软雅黑" w:hAnsi="微软雅黑" w:eastAsia="微软雅黑"/>
          <w:lang w:val="en-US"/>
        </w:rPr>
        <w:t>——</w:t>
      </w:r>
      <w:r>
        <w:rPr>
          <w:rFonts w:hint="eastAsia" w:ascii="微软雅黑" w:hAnsi="微软雅黑" w:eastAsia="微软雅黑"/>
          <w:lang w:val="en-US"/>
        </w:rPr>
        <w:t>平均辐射温度（℃），通过CFD求解获得室内各围护结构平均温度，再加权平均计算；</w:t>
      </w:r>
    </w:p>
    <w:p w14:paraId="24600B38">
      <w:pPr>
        <w:pStyle w:val="3"/>
        <w:spacing w:line="400" w:lineRule="exact"/>
        <w:ind w:firstLine="420" w:firstLineChars="0"/>
        <w:rPr>
          <w:rFonts w:hint="eastAsia" w:ascii="微软雅黑" w:hAnsi="微软雅黑" w:eastAsia="微软雅黑"/>
          <w:lang w:val="en-US"/>
        </w:rPr>
      </w:pPr>
      <w:r>
        <w:rPr>
          <w:rFonts w:ascii="微软雅黑" w:hAnsi="微软雅黑" w:eastAsia="微软雅黑"/>
          <w:i/>
          <w:iCs/>
          <w:lang w:val="en-US"/>
        </w:rPr>
        <w:t>v</w:t>
      </w:r>
      <w:r>
        <w:rPr>
          <w:rFonts w:ascii="微软雅黑" w:hAnsi="微软雅黑" w:eastAsia="微软雅黑"/>
          <w:vertAlign w:val="subscript"/>
          <w:lang w:val="en-US"/>
        </w:rPr>
        <w:t xml:space="preserve">ar </w:t>
      </w:r>
      <w:r>
        <w:rPr>
          <w:rFonts w:hint="eastAsia" w:ascii="微软雅黑" w:hAnsi="微软雅黑" w:eastAsia="微软雅黑"/>
          <w:vertAlign w:val="subscript"/>
          <w:lang w:val="en-US"/>
        </w:rPr>
        <w:t xml:space="preserve"> </w:t>
      </w:r>
      <w:r>
        <w:rPr>
          <w:rFonts w:ascii="微软雅黑" w:hAnsi="微软雅黑" w:eastAsia="微软雅黑"/>
          <w:vertAlign w:val="subscript"/>
          <w:lang w:val="en-US"/>
        </w:rPr>
        <w:t xml:space="preserve"> </w:t>
      </w:r>
      <w:r>
        <w:rPr>
          <w:rFonts w:ascii="微软雅黑" w:hAnsi="微软雅黑" w:eastAsia="微软雅黑"/>
          <w:lang w:val="en-US"/>
        </w:rPr>
        <w:t>——</w:t>
      </w:r>
      <w:r>
        <w:rPr>
          <w:rFonts w:hint="eastAsia" w:ascii="微软雅黑" w:hAnsi="微软雅黑" w:eastAsia="微软雅黑"/>
          <w:lang w:val="en-US"/>
        </w:rPr>
        <w:t>相对风速（m</w:t>
      </w:r>
      <w:r>
        <w:rPr>
          <w:rFonts w:ascii="微软雅黑" w:hAnsi="微软雅黑" w:eastAsia="微软雅黑"/>
          <w:lang w:val="en-US"/>
        </w:rPr>
        <w:t>/s</w:t>
      </w:r>
      <w:r>
        <w:rPr>
          <w:rFonts w:hint="eastAsia" w:ascii="微软雅黑" w:hAnsi="微软雅黑" w:eastAsia="微软雅黑"/>
          <w:lang w:val="en-US"/>
        </w:rPr>
        <w:t>），CFD求解；</w:t>
      </w:r>
    </w:p>
    <w:p w14:paraId="139B1FBD">
      <w:pPr>
        <w:pStyle w:val="3"/>
        <w:spacing w:line="400" w:lineRule="exact"/>
        <w:ind w:firstLine="420" w:firstLineChars="0"/>
        <w:rPr>
          <w:rFonts w:hint="eastAsia" w:ascii="微软雅黑" w:hAnsi="微软雅黑" w:eastAsia="微软雅黑"/>
          <w:lang w:val="en-US"/>
        </w:rPr>
      </w:pPr>
      <w:r>
        <w:rPr>
          <w:rFonts w:ascii="微软雅黑" w:hAnsi="微软雅黑" w:eastAsia="微软雅黑"/>
          <w:i/>
          <w:iCs/>
          <w:lang w:val="en-US"/>
        </w:rPr>
        <w:t>P</w:t>
      </w:r>
      <w:r>
        <w:rPr>
          <w:rFonts w:ascii="微软雅黑" w:hAnsi="微软雅黑" w:eastAsia="微软雅黑"/>
          <w:vertAlign w:val="subscript"/>
          <w:lang w:val="en-US"/>
        </w:rPr>
        <w:t xml:space="preserve">a </w:t>
      </w:r>
      <w:r>
        <w:rPr>
          <w:rFonts w:ascii="微软雅黑" w:hAnsi="微软雅黑" w:eastAsia="微软雅黑"/>
          <w:lang w:val="en-US"/>
        </w:rPr>
        <w:t xml:space="preserve"> ——</w:t>
      </w:r>
      <w:r>
        <w:rPr>
          <w:rFonts w:hint="eastAsia" w:ascii="微软雅黑" w:hAnsi="微软雅黑" w:eastAsia="微软雅黑"/>
          <w:lang w:val="en-US"/>
        </w:rPr>
        <w:t>水蒸气分压（Pa）；</w:t>
      </w:r>
    </w:p>
    <w:p w14:paraId="411D5892">
      <w:pPr>
        <w:pStyle w:val="3"/>
        <w:spacing w:line="400" w:lineRule="exact"/>
        <w:ind w:firstLine="420" w:firstLineChars="0"/>
        <w:rPr>
          <w:rFonts w:hint="eastAsia" w:ascii="微软雅黑" w:hAnsi="微软雅黑" w:eastAsia="微软雅黑"/>
          <w:lang w:val="en-US"/>
        </w:rPr>
      </w:pPr>
      <w:r>
        <w:rPr>
          <w:rFonts w:ascii="微软雅黑" w:hAnsi="微软雅黑" w:eastAsia="微软雅黑"/>
          <w:i/>
          <w:iCs/>
          <w:lang w:val="en-US"/>
        </w:rPr>
        <w:t>h</w:t>
      </w:r>
      <w:r>
        <w:rPr>
          <w:rFonts w:ascii="微软雅黑" w:hAnsi="微软雅黑" w:eastAsia="微软雅黑"/>
          <w:vertAlign w:val="subscript"/>
          <w:lang w:val="en-US"/>
        </w:rPr>
        <w:t xml:space="preserve">c   </w:t>
      </w:r>
      <w:r>
        <w:rPr>
          <w:rFonts w:ascii="微软雅黑" w:hAnsi="微软雅黑" w:eastAsia="微软雅黑"/>
          <w:lang w:val="en-US"/>
        </w:rPr>
        <w:t>——</w:t>
      </w:r>
      <w:r>
        <w:rPr>
          <w:rFonts w:hint="eastAsia" w:ascii="微软雅黑" w:hAnsi="微软雅黑" w:eastAsia="微软雅黑"/>
          <w:lang w:val="en-US"/>
        </w:rPr>
        <w:t>对流换热系数，可通过计算程序迭代计算得出；</w:t>
      </w:r>
    </w:p>
    <w:p w14:paraId="1DDBBABF">
      <w:pPr>
        <w:pStyle w:val="3"/>
        <w:spacing w:line="400" w:lineRule="exact"/>
        <w:ind w:firstLine="420" w:firstLineChars="0"/>
        <w:rPr>
          <w:rFonts w:hint="eastAsia" w:ascii="微软雅黑" w:hAnsi="微软雅黑" w:eastAsia="微软雅黑"/>
          <w:lang w:val="en-US"/>
        </w:rPr>
      </w:pPr>
      <w:r>
        <w:rPr>
          <w:rFonts w:ascii="微软雅黑" w:hAnsi="微软雅黑" w:eastAsia="微软雅黑"/>
          <w:i/>
          <w:iCs/>
          <w:lang w:val="en-US"/>
        </w:rPr>
        <w:t>t</w:t>
      </w:r>
      <w:r>
        <w:rPr>
          <w:rFonts w:ascii="微软雅黑" w:hAnsi="微软雅黑" w:eastAsia="微软雅黑"/>
          <w:vertAlign w:val="subscript"/>
          <w:lang w:val="en-US"/>
        </w:rPr>
        <w:t>cl</w:t>
      </w:r>
      <w:r>
        <w:rPr>
          <w:rFonts w:ascii="微软雅黑" w:hAnsi="微软雅黑" w:eastAsia="微软雅黑"/>
          <w:lang w:val="en-US"/>
        </w:rPr>
        <w:t xml:space="preserve">  ——</w:t>
      </w:r>
      <w:r>
        <w:rPr>
          <w:rFonts w:hint="eastAsia" w:ascii="微软雅黑" w:hAnsi="微软雅黑" w:eastAsia="微软雅黑"/>
          <w:lang w:val="en-US"/>
        </w:rPr>
        <w:t>服装表面温度，可通过计算程序迭代计算得出（℃）；</w:t>
      </w:r>
    </w:p>
    <w:p w14:paraId="119805D6">
      <w:pPr>
        <w:pStyle w:val="3"/>
        <w:spacing w:line="400" w:lineRule="exact"/>
        <w:ind w:firstLine="420"/>
        <w:rPr>
          <w:rFonts w:hint="eastAsia" w:ascii="微软雅黑" w:hAnsi="微软雅黑" w:eastAsia="微软雅黑"/>
          <w:lang w:val="en-US"/>
        </w:rPr>
      </w:pPr>
      <w:r>
        <w:rPr>
          <w:rFonts w:hint="eastAsia" w:ascii="微软雅黑" w:hAnsi="微软雅黑" w:eastAsia="微软雅黑"/>
          <w:lang w:val="en-US"/>
        </w:rPr>
        <w:t>说明：其中水蒸气分压也可以用空气相对湿度代替作为输入的参数。</w:t>
      </w:r>
    </w:p>
    <w:p w14:paraId="10248B0F">
      <w:pPr>
        <w:pStyle w:val="5"/>
        <w:spacing w:before="156"/>
        <w:rPr>
          <w:rFonts w:hint="eastAsia"/>
        </w:rPr>
      </w:pPr>
      <w:r>
        <w:t>PPD</w:t>
      </w:r>
      <w:r>
        <w:rPr>
          <w:rFonts w:hint="eastAsia"/>
        </w:rPr>
        <w:t>计算公式</w:t>
      </w:r>
      <w:bookmarkEnd w:id="62"/>
      <w:bookmarkEnd w:id="63"/>
    </w:p>
    <w:p w14:paraId="64F76749">
      <w:pPr>
        <w:pStyle w:val="3"/>
        <w:spacing w:line="400" w:lineRule="exact"/>
        <w:ind w:left="122" w:leftChars="58" w:firstLine="298" w:firstLineChars="0"/>
        <w:rPr>
          <w:rFonts w:hint="eastAsia" w:ascii="微软雅黑" w:hAnsi="微软雅黑" w:eastAsia="微软雅黑"/>
          <w:lang w:val="en-US"/>
        </w:rPr>
      </w:pPr>
      <w:r>
        <w:rPr>
          <w:rFonts w:ascii="微软雅黑" w:hAnsi="微软雅黑" w:eastAsia="微软雅黑"/>
          <w:lang w:val="en-US"/>
        </w:rPr>
        <w:t>PPD</w:t>
      </w:r>
      <w:r>
        <w:rPr>
          <w:rFonts w:hint="eastAsia" w:ascii="微软雅黑" w:hAnsi="微软雅黑" w:eastAsia="微软雅黑"/>
          <w:lang w:val="en-US"/>
        </w:rPr>
        <w:t>为处于热湿环境中的人群对于热湿环境不满意的预计投票平均值，PPD可预测在一给定环境中可能感觉过热或过冷的人的百分数来提供有关热不适或者热不满意的信息。PPD可由PMV得出：</w:t>
      </w:r>
    </w:p>
    <w:p w14:paraId="02423523">
      <w:pPr>
        <w:pStyle w:val="3"/>
        <w:ind w:left="141" w:leftChars="67" w:firstLine="279" w:firstLineChars="0"/>
        <w:rPr>
          <w:lang w:val="en-US"/>
        </w:rPr>
      </w:pPr>
      <m:oMath>
        <m:r>
          <m:rPr>
            <m:sty m:val="p"/>
          </m:rPr>
          <w:rPr>
            <w:rFonts w:ascii="Cambria Math" w:hAnsi="Cambria Math" w:eastAsia="微软雅黑"/>
            <w:lang w:val="en-US"/>
          </w:rPr>
          <m:t>PPD=100−95∙exp⁡(−0.03353∙</m:t>
        </m:r>
        <m:sSup>
          <m:sSupPr>
            <m:ctrlPr>
              <w:rPr>
                <w:rFonts w:ascii="Cambria Math" w:hAnsi="Cambria Math" w:eastAsia="微软雅黑" w:cs="宋体"/>
                <w:sz w:val="24"/>
                <w:szCs w:val="24"/>
              </w:rPr>
            </m:ctrlPr>
          </m:sSupPr>
          <m:e>
            <m:r>
              <m:rPr/>
              <w:rPr>
                <w:rFonts w:ascii="Cambria Math" w:hAnsi="Cambria Math" w:eastAsia="微软雅黑"/>
                <w:lang w:val="en-US"/>
              </w:rPr>
              <m:t>PMV</m:t>
            </m:r>
            <m:ctrlPr>
              <w:rPr>
                <w:rFonts w:ascii="Cambria Math" w:hAnsi="Cambria Math" w:eastAsia="微软雅黑" w:cs="宋体"/>
                <w:sz w:val="24"/>
                <w:szCs w:val="24"/>
              </w:rPr>
            </m:ctrlPr>
          </m:e>
          <m:sup>
            <m:r>
              <m:rPr/>
              <w:rPr>
                <w:rFonts w:ascii="Cambria Math" w:hAnsi="Cambria Math" w:eastAsia="微软雅黑"/>
                <w:lang w:val="en-US"/>
              </w:rPr>
              <m:t>4</m:t>
            </m:r>
            <m:ctrlPr>
              <w:rPr>
                <w:rFonts w:ascii="Cambria Math" w:hAnsi="Cambria Math" w:eastAsia="微软雅黑" w:cs="宋体"/>
                <w:sz w:val="24"/>
                <w:szCs w:val="24"/>
              </w:rPr>
            </m:ctrlPr>
          </m:sup>
        </m:sSup>
        <m:r>
          <m:rPr/>
          <w:rPr>
            <w:rFonts w:ascii="Cambria Math" w:hAnsi="Cambria Math" w:eastAsia="微软雅黑"/>
            <w:lang w:val="en-US"/>
          </w:rPr>
          <m:t>−0.2179∙</m:t>
        </m:r>
        <m:sSup>
          <m:sSupPr>
            <m:ctrlPr>
              <w:rPr>
                <w:rFonts w:ascii="Cambria Math" w:hAnsi="Cambria Math" w:eastAsia="微软雅黑" w:cs="宋体"/>
                <w:i/>
                <w:sz w:val="24"/>
                <w:szCs w:val="24"/>
              </w:rPr>
            </m:ctrlPr>
          </m:sSupPr>
          <m:e>
            <m:r>
              <m:rPr/>
              <w:rPr>
                <w:rFonts w:ascii="Cambria Math" w:hAnsi="Cambria Math" w:eastAsia="微软雅黑"/>
                <w:lang w:val="en-US"/>
              </w:rPr>
              <m:t>PMV</m:t>
            </m:r>
            <m:ctrlPr>
              <w:rPr>
                <w:rFonts w:ascii="Cambria Math" w:hAnsi="Cambria Math" w:eastAsia="微软雅黑" w:cs="宋体"/>
                <w:i/>
                <w:sz w:val="24"/>
                <w:szCs w:val="24"/>
              </w:rPr>
            </m:ctrlPr>
          </m:e>
          <m:sup>
            <m:r>
              <m:rPr/>
              <w:rPr>
                <w:rFonts w:ascii="Cambria Math" w:hAnsi="Cambria Math" w:eastAsia="微软雅黑"/>
                <w:lang w:val="en-US"/>
              </w:rPr>
              <m:t>2</m:t>
            </m:r>
            <m:ctrlPr>
              <w:rPr>
                <w:rFonts w:ascii="Cambria Math" w:hAnsi="Cambria Math" w:eastAsia="微软雅黑" w:cs="宋体"/>
                <w:i/>
                <w:sz w:val="24"/>
                <w:szCs w:val="24"/>
              </w:rPr>
            </m:ctrlPr>
          </m:sup>
        </m:sSup>
        <m:r>
          <m:rPr/>
          <w:rPr>
            <w:rFonts w:ascii="Cambria Math" w:hAnsi="Cambria Math" w:eastAsia="微软雅黑"/>
            <w:lang w:val="en-US"/>
          </w:rPr>
          <m:t>)</m:t>
        </m:r>
      </m:oMath>
      <w:r>
        <w:rPr>
          <w:rFonts w:hint="eastAsia" w:ascii="微软雅黑" w:hAnsi="微软雅黑" w:eastAsia="微软雅黑"/>
          <w:lang w:val="en-US"/>
        </w:rPr>
        <w:t xml:space="preserve">                (5)</w:t>
      </w:r>
    </w:p>
    <w:p w14:paraId="40FD3C7B">
      <w:pPr>
        <w:pStyle w:val="3"/>
        <w:spacing w:line="400" w:lineRule="exact"/>
        <w:ind w:firstLine="420"/>
        <w:rPr>
          <w:rFonts w:hint="eastAsia" w:ascii="微软雅黑" w:hAnsi="微软雅黑" w:eastAsia="微软雅黑"/>
          <w:lang w:val="en-US"/>
        </w:rPr>
      </w:pPr>
      <w:r>
        <w:rPr>
          <w:rFonts w:hint="eastAsia" w:ascii="微软雅黑" w:hAnsi="微软雅黑" w:eastAsia="微软雅黑"/>
          <w:lang w:val="en-US"/>
        </w:rPr>
        <w:t>式中：PMV为平均热感觉指数；</w:t>
      </w:r>
    </w:p>
    <w:p w14:paraId="4E062070">
      <w:pPr>
        <w:pStyle w:val="3"/>
        <w:spacing w:line="400" w:lineRule="exact"/>
        <w:ind w:firstLine="630" w:firstLineChars="300"/>
        <w:rPr>
          <w:rFonts w:hint="eastAsia" w:ascii="微软雅黑" w:hAnsi="微软雅黑" w:eastAsia="微软雅黑"/>
          <w:lang w:val="en-US"/>
        </w:rPr>
      </w:pPr>
      <w:r>
        <w:rPr>
          <w:rFonts w:hint="eastAsia" w:ascii="微软雅黑" w:hAnsi="微软雅黑" w:eastAsia="微软雅黑"/>
          <w:lang w:val="en-US"/>
        </w:rPr>
        <w:t xml:space="preserve">  PPD为预计不满意率，%；</w:t>
      </w:r>
    </w:p>
    <w:p w14:paraId="5C174CCA">
      <w:pPr>
        <w:pStyle w:val="3"/>
        <w:ind w:firstLine="1050" w:firstLineChars="500"/>
        <w:rPr>
          <w:lang w:val="en-US"/>
        </w:rPr>
      </w:pPr>
      <w:r>
        <w:rPr>
          <w:lang w:val="en-US"/>
        </w:rPr>
        <w:drawing>
          <wp:inline distT="0" distB="0" distL="0" distR="0">
            <wp:extent cx="4457700" cy="3048000"/>
            <wp:effectExtent l="0" t="0" r="0" b="0"/>
            <wp:docPr id="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2"/>
                    <pic:cNvPicPr>
                      <a:picLocks noChangeAspect="1" noChangeArrowheads="1"/>
                    </pic:cNvPicPr>
                  </pic:nvPicPr>
                  <pic:blipFill>
                    <a:blip r:embed="rId17">
                      <a:extLst>
                        <a:ext uri="{28A0092B-C50C-407E-A947-70E740481C1C}">
                          <a14:useLocalDpi xmlns:a14="http://schemas.microsoft.com/office/drawing/2010/main" val="0"/>
                        </a:ext>
                      </a:extLst>
                    </a:blip>
                    <a:srcRect t="1984"/>
                    <a:stretch>
                      <a:fillRect/>
                    </a:stretch>
                  </pic:blipFill>
                  <pic:spPr>
                    <a:xfrm>
                      <a:off x="0" y="0"/>
                      <a:ext cx="4457700" cy="3048000"/>
                    </a:xfrm>
                    <a:prstGeom prst="rect">
                      <a:avLst/>
                    </a:prstGeom>
                    <a:noFill/>
                    <a:ln>
                      <a:noFill/>
                    </a:ln>
                  </pic:spPr>
                </pic:pic>
              </a:graphicData>
            </a:graphic>
          </wp:inline>
        </w:drawing>
      </w:r>
    </w:p>
    <w:p w14:paraId="04E9D500">
      <w:pPr>
        <w:pStyle w:val="3"/>
        <w:spacing w:line="400" w:lineRule="exact"/>
        <w:ind w:firstLine="1050" w:firstLineChars="500"/>
        <w:rPr>
          <w:rFonts w:hint="eastAsia" w:ascii="微软雅黑" w:hAnsi="微软雅黑" w:eastAsia="微软雅黑"/>
          <w:lang w:val="en-US"/>
        </w:rPr>
      </w:pPr>
      <w:r>
        <w:rPr>
          <w:rFonts w:hint="eastAsia"/>
          <w:lang w:val="en-US"/>
        </w:rPr>
        <w:t xml:space="preserve">                   </w:t>
      </w:r>
      <w:r>
        <w:rPr>
          <w:rFonts w:hint="eastAsia" w:ascii="黑体" w:hAnsi="黑体" w:eastAsia="黑体"/>
          <w:lang w:val="en-US"/>
        </w:rPr>
        <w:t xml:space="preserve">   </w:t>
      </w:r>
      <w:r>
        <w:rPr>
          <w:rFonts w:hint="eastAsia" w:ascii="微软雅黑" w:hAnsi="微软雅黑" w:eastAsia="微软雅黑"/>
          <w:lang w:val="en-US"/>
        </w:rPr>
        <w:t xml:space="preserve">   PPD与PMV的关系</w:t>
      </w:r>
    </w:p>
    <w:p w14:paraId="199D1EE5">
      <w:pPr>
        <w:pStyle w:val="5"/>
        <w:spacing w:before="156"/>
        <w:rPr>
          <w:rFonts w:hint="eastAsia"/>
        </w:rPr>
      </w:pPr>
      <w:bookmarkStart w:id="64" w:name="_Toc44772823"/>
      <w:bookmarkStart w:id="65" w:name="_Toc44662475"/>
      <w:r>
        <w:rPr>
          <w:rFonts w:hint="eastAsia"/>
        </w:rPr>
        <w:t>PMV和PPD达标比例计算</w:t>
      </w:r>
      <w:bookmarkEnd w:id="64"/>
      <w:bookmarkEnd w:id="65"/>
    </w:p>
    <w:p w14:paraId="3BB6EC04">
      <w:pPr>
        <w:spacing w:line="400" w:lineRule="exact"/>
        <w:ind w:firstLine="420"/>
        <w:rPr>
          <w:rFonts w:hint="eastAsia" w:ascii="微软雅黑" w:hAnsi="微软雅黑" w:eastAsia="微软雅黑"/>
          <w:lang w:val="en-US"/>
        </w:rPr>
      </w:pPr>
      <w:r>
        <w:rPr>
          <w:rFonts w:hint="eastAsia" w:ascii="微软雅黑" w:hAnsi="微软雅黑" w:eastAsia="微软雅黑"/>
          <w:lang w:val="en-US"/>
        </w:rPr>
        <w:t>先将室内温度、风速、相对湿度等参数输入，再根据PMV和PPD计算公式获取室内PMV和PPD指标，参考《民用建筑室内热湿环境评价标准》GB/T 50785-2012中的评价方法统计PMV和PPD达标面积比例，最后给出评价结果。</w:t>
      </w:r>
    </w:p>
    <w:p w14:paraId="73893176">
      <w:pPr>
        <w:pStyle w:val="2"/>
        <w:spacing w:before="312"/>
        <w:rPr>
          <w:rFonts w:hint="eastAsia"/>
        </w:rPr>
      </w:pPr>
      <w:bookmarkStart w:id="66" w:name="_Toc25067"/>
      <w:bookmarkStart w:id="67" w:name="_Toc44772824"/>
      <w:r>
        <w:rPr>
          <w:rFonts w:hint="eastAsia"/>
        </w:rPr>
        <w:t>计算参数</w:t>
      </w:r>
      <w:bookmarkEnd w:id="66"/>
      <w:bookmarkEnd w:id="67"/>
    </w:p>
    <w:p w14:paraId="713B7E2A">
      <w:pPr>
        <w:pStyle w:val="3"/>
        <w:tabs>
          <w:tab w:val="left" w:pos="8931"/>
        </w:tabs>
        <w:spacing w:line="400" w:lineRule="exact"/>
        <w:ind w:firstLine="420"/>
        <w:rPr>
          <w:rFonts w:hint="eastAsia" w:ascii="微软雅黑" w:hAnsi="微软雅黑" w:eastAsia="微软雅黑"/>
          <w:lang w:val="en-US"/>
        </w:rPr>
      </w:pPr>
      <w:r>
        <w:rPr>
          <w:rFonts w:hint="eastAsia" w:ascii="微软雅黑" w:hAnsi="微软雅黑" w:eastAsia="微软雅黑"/>
          <w:lang w:val="en-US"/>
        </w:rPr>
        <w:t>本项目供冷工况采用</w:t>
      </w:r>
      <w:bookmarkStart w:id="68" w:name="夏季暖通空调形式"/>
      <w:bookmarkStart w:id="69" w:name="暖通空调形式"/>
      <w:r>
        <w:rPr>
          <w:rFonts w:hint="eastAsia" w:ascii="微软雅黑" w:hAnsi="微软雅黑" w:eastAsia="微软雅黑"/>
          <w:lang w:val="en-US"/>
        </w:rPr>
        <w:t>冷冻水泵</w:t>
      </w:r>
      <w:bookmarkEnd w:id="68"/>
      <w:bookmarkEnd w:id="69"/>
      <w:r>
        <w:rPr>
          <w:rFonts w:hint="eastAsia" w:ascii="微软雅黑" w:hAnsi="微软雅黑" w:eastAsia="微软雅黑"/>
          <w:lang w:val="en-US"/>
        </w:rPr>
        <w:t>方式供冷，供暖工况采用</w:t>
      </w:r>
      <w:bookmarkStart w:id="70" w:name="冬季暖通空调形式"/>
      <w:r>
        <w:rPr>
          <w:rFonts w:hint="eastAsia" w:ascii="微软雅黑" w:hAnsi="微软雅黑" w:eastAsia="微软雅黑"/>
          <w:lang w:val="en-US"/>
        </w:rPr>
        <w:t>热泵型新风环境控制一体机</w:t>
      </w:r>
      <w:bookmarkEnd w:id="70"/>
      <w:r>
        <w:rPr>
          <w:rFonts w:hint="eastAsia" w:ascii="微软雅黑" w:hAnsi="微软雅黑" w:eastAsia="微软雅黑"/>
          <w:lang w:val="en-US"/>
        </w:rPr>
        <w:t>方式供暖。该项目所有参评房间均基于</w:t>
      </w:r>
      <w:r>
        <w:rPr>
          <w:rFonts w:ascii="微软雅黑" w:hAnsi="微软雅黑" w:eastAsia="微软雅黑"/>
          <w:lang w:val="en-US"/>
        </w:rPr>
        <w:t>以下参数计算</w:t>
      </w:r>
      <w:r>
        <w:rPr>
          <w:rFonts w:hint="eastAsia" w:ascii="微软雅黑" w:hAnsi="微软雅黑" w:eastAsia="微软雅黑"/>
          <w:lang w:val="en-US"/>
        </w:rPr>
        <w:t>室内热湿环境评价指标PMV和PPD：</w:t>
      </w:r>
    </w:p>
    <w:p w14:paraId="12640CAB">
      <w:pPr>
        <w:pStyle w:val="3"/>
        <w:tabs>
          <w:tab w:val="left" w:pos="8931"/>
        </w:tabs>
        <w:spacing w:after="156" w:afterLines="50" w:line="400" w:lineRule="exact"/>
        <w:ind w:firstLine="0" w:firstLineChars="0"/>
        <w:jc w:val="center"/>
        <w:rPr>
          <w:rFonts w:hint="eastAsia" w:ascii="微软雅黑" w:hAnsi="微软雅黑" w:eastAsia="微软雅黑"/>
          <w:sz w:val="18"/>
          <w:szCs w:val="18"/>
          <w:lang w:val="en-US"/>
        </w:rPr>
      </w:pPr>
      <w:r>
        <w:rPr>
          <w:rFonts w:hint="eastAsia" w:ascii="微软雅黑" w:hAnsi="微软雅黑" w:eastAsia="微软雅黑" w:cs="宋体"/>
          <w:b/>
          <w:bCs/>
          <w:color w:val="333333"/>
          <w:sz w:val="18"/>
          <w:szCs w:val="18"/>
          <w:lang w:val="en-US"/>
        </w:rPr>
        <w:t>表5.1    PMV-PPD计算参数</w:t>
      </w:r>
    </w:p>
    <w:tbl>
      <w:tblPr>
        <w:tblStyle w:val="22"/>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778"/>
        <w:gridCol w:w="895"/>
        <w:gridCol w:w="1035"/>
        <w:gridCol w:w="1421"/>
        <w:gridCol w:w="1183"/>
        <w:gridCol w:w="1184"/>
        <w:gridCol w:w="1169"/>
      </w:tblGrid>
      <w:tr w14:paraId="1F992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9" w:type="dxa"/>
            <w:shd w:val="clear" w:color="auto" w:fill="E6E6E6"/>
          </w:tcPr>
          <w:p w14:paraId="2346B5E5">
            <w:pPr>
              <w:pStyle w:val="3"/>
              <w:spacing w:line="280" w:lineRule="exact"/>
              <w:ind w:firstLine="0" w:firstLineChars="0"/>
              <w:jc w:val="center"/>
              <w:rPr>
                <w:rFonts w:hint="eastAsia" w:ascii="微软雅黑" w:hAnsi="微软雅黑" w:eastAsia="微软雅黑"/>
                <w:b/>
                <w:sz w:val="18"/>
                <w:szCs w:val="18"/>
              </w:rPr>
            </w:pPr>
            <w:bookmarkStart w:id="71" w:name="_Hlk207976214"/>
            <w:bookmarkStart w:id="72" w:name="计算工况表" w:colFirst="0" w:colLast="8"/>
            <w:r>
              <w:rPr>
                <w:rFonts w:hint="eastAsia" w:ascii="微软雅黑" w:hAnsi="微软雅黑" w:eastAsia="微软雅黑"/>
                <w:b/>
                <w:sz w:val="18"/>
                <w:szCs w:val="18"/>
              </w:rPr>
              <w:t>工况</w:t>
            </w:r>
          </w:p>
        </w:tc>
        <w:tc>
          <w:tcPr>
            <w:tcW w:w="778" w:type="dxa"/>
            <w:shd w:val="clear" w:color="auto" w:fill="E6E6E6"/>
            <w:vAlign w:val="center"/>
          </w:tcPr>
          <w:p w14:paraId="6ABCC763">
            <w:pPr>
              <w:pStyle w:val="3"/>
              <w:spacing w:line="280" w:lineRule="exact"/>
              <w:ind w:firstLine="0" w:firstLineChars="0"/>
              <w:jc w:val="center"/>
              <w:rPr>
                <w:rFonts w:hint="eastAsia" w:ascii="微软雅黑" w:hAnsi="微软雅黑" w:eastAsia="微软雅黑"/>
                <w:b/>
                <w:sz w:val="18"/>
                <w:szCs w:val="18"/>
              </w:rPr>
            </w:pPr>
            <w:r>
              <w:rPr>
                <w:rFonts w:hint="eastAsia" w:ascii="微软雅黑" w:hAnsi="微软雅黑" w:eastAsia="微软雅黑"/>
                <w:b/>
                <w:sz w:val="18"/>
                <w:szCs w:val="18"/>
              </w:rPr>
              <w:t>温度</w:t>
            </w:r>
          </w:p>
          <w:p w14:paraId="673A1FD1">
            <w:pPr>
              <w:pStyle w:val="3"/>
              <w:spacing w:line="280" w:lineRule="exact"/>
              <w:ind w:firstLine="0" w:firstLineChars="0"/>
              <w:jc w:val="center"/>
              <w:rPr>
                <w:rFonts w:hint="eastAsia" w:ascii="微软雅黑" w:hAnsi="微软雅黑" w:eastAsia="微软雅黑"/>
                <w:b/>
                <w:sz w:val="18"/>
                <w:szCs w:val="18"/>
              </w:rPr>
            </w:pPr>
            <w:r>
              <w:rPr>
                <w:rFonts w:ascii="微软雅黑" w:hAnsi="微软雅黑" w:eastAsia="微软雅黑"/>
                <w:b/>
                <w:sz w:val="18"/>
                <w:szCs w:val="18"/>
              </w:rPr>
              <w:t>(</w:t>
            </w:r>
            <w:r>
              <w:rPr>
                <w:rFonts w:hint="eastAsia" w:ascii="微软雅黑" w:hAnsi="微软雅黑" w:eastAsia="微软雅黑"/>
                <w:b/>
                <w:sz w:val="18"/>
                <w:szCs w:val="18"/>
              </w:rPr>
              <w:t>℃</w:t>
            </w:r>
            <w:r>
              <w:rPr>
                <w:rFonts w:ascii="微软雅黑" w:hAnsi="微软雅黑" w:eastAsia="微软雅黑"/>
                <w:b/>
                <w:sz w:val="18"/>
                <w:szCs w:val="18"/>
              </w:rPr>
              <w:t>)</w:t>
            </w:r>
          </w:p>
        </w:tc>
        <w:tc>
          <w:tcPr>
            <w:tcW w:w="895" w:type="dxa"/>
            <w:shd w:val="clear" w:color="auto" w:fill="E6E6E6"/>
            <w:vAlign w:val="center"/>
          </w:tcPr>
          <w:p w14:paraId="3BE3829F">
            <w:pPr>
              <w:pStyle w:val="3"/>
              <w:spacing w:line="280" w:lineRule="exact"/>
              <w:ind w:firstLine="0" w:firstLineChars="0"/>
              <w:jc w:val="center"/>
              <w:rPr>
                <w:rFonts w:hint="eastAsia" w:ascii="微软雅黑" w:hAnsi="微软雅黑" w:eastAsia="微软雅黑"/>
                <w:b/>
                <w:sz w:val="18"/>
                <w:szCs w:val="18"/>
              </w:rPr>
            </w:pPr>
            <w:r>
              <w:rPr>
                <w:rFonts w:hint="eastAsia" w:ascii="微软雅黑" w:hAnsi="微软雅黑" w:eastAsia="微软雅黑"/>
                <w:b/>
                <w:sz w:val="18"/>
                <w:szCs w:val="18"/>
              </w:rPr>
              <w:t>风速</w:t>
            </w:r>
          </w:p>
          <w:p w14:paraId="2216E49B">
            <w:pPr>
              <w:pStyle w:val="3"/>
              <w:spacing w:line="280" w:lineRule="exact"/>
              <w:ind w:firstLine="0" w:firstLineChars="0"/>
              <w:jc w:val="center"/>
              <w:rPr>
                <w:rFonts w:hint="eastAsia" w:ascii="微软雅黑" w:hAnsi="微软雅黑" w:eastAsia="微软雅黑"/>
                <w:b/>
                <w:sz w:val="18"/>
                <w:szCs w:val="18"/>
              </w:rPr>
            </w:pPr>
            <w:r>
              <w:rPr>
                <w:rFonts w:ascii="微软雅黑" w:hAnsi="微软雅黑" w:eastAsia="微软雅黑"/>
                <w:b/>
                <w:sz w:val="18"/>
                <w:szCs w:val="18"/>
              </w:rPr>
              <w:t>(</w:t>
            </w:r>
            <w:r>
              <w:rPr>
                <w:rFonts w:hint="eastAsia" w:ascii="微软雅黑" w:hAnsi="微软雅黑" w:eastAsia="微软雅黑"/>
                <w:b/>
                <w:sz w:val="18"/>
                <w:szCs w:val="18"/>
              </w:rPr>
              <w:t>℃</w:t>
            </w:r>
            <w:r>
              <w:rPr>
                <w:rFonts w:ascii="微软雅黑" w:hAnsi="微软雅黑" w:eastAsia="微软雅黑"/>
                <w:b/>
                <w:sz w:val="18"/>
                <w:szCs w:val="18"/>
              </w:rPr>
              <w:t>)</w:t>
            </w:r>
          </w:p>
        </w:tc>
        <w:tc>
          <w:tcPr>
            <w:tcW w:w="1035" w:type="dxa"/>
            <w:shd w:val="clear" w:color="auto" w:fill="E6E6E6"/>
            <w:vAlign w:val="center"/>
          </w:tcPr>
          <w:p w14:paraId="634CD5CA">
            <w:pPr>
              <w:pStyle w:val="3"/>
              <w:spacing w:line="280" w:lineRule="exact"/>
              <w:ind w:firstLine="0" w:firstLineChars="0"/>
              <w:jc w:val="center"/>
              <w:rPr>
                <w:rFonts w:hint="eastAsia" w:ascii="微软雅黑" w:hAnsi="微软雅黑" w:eastAsia="微软雅黑"/>
                <w:b/>
                <w:sz w:val="18"/>
                <w:szCs w:val="18"/>
              </w:rPr>
            </w:pPr>
            <w:r>
              <w:rPr>
                <w:rFonts w:hint="eastAsia" w:ascii="微软雅黑" w:hAnsi="微软雅黑" w:eastAsia="微软雅黑"/>
                <w:b/>
                <w:sz w:val="18"/>
                <w:szCs w:val="18"/>
              </w:rPr>
              <w:t>相对湿度</w:t>
            </w:r>
          </w:p>
          <w:p w14:paraId="15B28B2A">
            <w:pPr>
              <w:pStyle w:val="3"/>
              <w:spacing w:line="280" w:lineRule="exact"/>
              <w:ind w:firstLine="0" w:firstLineChars="0"/>
              <w:jc w:val="center"/>
              <w:rPr>
                <w:rFonts w:hint="eastAsia" w:ascii="微软雅黑" w:hAnsi="微软雅黑" w:eastAsia="微软雅黑"/>
                <w:b/>
                <w:sz w:val="18"/>
                <w:szCs w:val="18"/>
              </w:rPr>
            </w:pPr>
            <w:r>
              <w:rPr>
                <w:rFonts w:ascii="微软雅黑" w:hAnsi="微软雅黑" w:eastAsia="微软雅黑"/>
                <w:b/>
                <w:sz w:val="18"/>
                <w:szCs w:val="18"/>
              </w:rPr>
              <w:t>(</w:t>
            </w:r>
            <w:r>
              <w:rPr>
                <w:rFonts w:hint="eastAsia" w:ascii="微软雅黑" w:hAnsi="微软雅黑" w:eastAsia="微软雅黑"/>
                <w:b/>
                <w:sz w:val="18"/>
                <w:szCs w:val="18"/>
              </w:rPr>
              <w:t>%</w:t>
            </w:r>
            <w:r>
              <w:rPr>
                <w:rFonts w:ascii="微软雅黑" w:hAnsi="微软雅黑" w:eastAsia="微软雅黑"/>
                <w:b/>
                <w:sz w:val="18"/>
                <w:szCs w:val="18"/>
              </w:rPr>
              <w:t>)</w:t>
            </w:r>
          </w:p>
        </w:tc>
        <w:tc>
          <w:tcPr>
            <w:tcW w:w="1421" w:type="dxa"/>
            <w:shd w:val="clear" w:color="auto" w:fill="E6E6E6"/>
            <w:vAlign w:val="center"/>
          </w:tcPr>
          <w:p w14:paraId="7D91897E">
            <w:pPr>
              <w:pStyle w:val="3"/>
              <w:spacing w:line="280" w:lineRule="exact"/>
              <w:ind w:firstLine="0" w:firstLineChars="0"/>
              <w:jc w:val="center"/>
              <w:rPr>
                <w:rFonts w:hint="eastAsia" w:ascii="微软雅黑" w:hAnsi="微软雅黑" w:eastAsia="微软雅黑"/>
                <w:b/>
                <w:sz w:val="18"/>
                <w:szCs w:val="18"/>
              </w:rPr>
            </w:pPr>
            <w:r>
              <w:rPr>
                <w:rFonts w:hint="eastAsia" w:ascii="微软雅黑" w:hAnsi="微软雅黑" w:eastAsia="微软雅黑"/>
                <w:b/>
                <w:sz w:val="18"/>
                <w:szCs w:val="18"/>
              </w:rPr>
              <w:t>平均辐射温度</w:t>
            </w:r>
          </w:p>
          <w:p w14:paraId="5354B2AA">
            <w:pPr>
              <w:pStyle w:val="3"/>
              <w:spacing w:line="280" w:lineRule="exact"/>
              <w:ind w:firstLine="0" w:firstLineChars="0"/>
              <w:jc w:val="center"/>
              <w:rPr>
                <w:rFonts w:hint="eastAsia" w:ascii="微软雅黑" w:hAnsi="微软雅黑" w:eastAsia="微软雅黑"/>
                <w:b/>
                <w:sz w:val="18"/>
                <w:szCs w:val="18"/>
              </w:rPr>
            </w:pPr>
            <w:r>
              <w:rPr>
                <w:rFonts w:ascii="微软雅黑" w:hAnsi="微软雅黑" w:eastAsia="微软雅黑"/>
                <w:b/>
                <w:sz w:val="18"/>
                <w:szCs w:val="18"/>
              </w:rPr>
              <w:t>(</w:t>
            </w:r>
            <w:r>
              <w:rPr>
                <w:rFonts w:hint="eastAsia" w:ascii="微软雅黑" w:hAnsi="微软雅黑" w:eastAsia="微软雅黑"/>
                <w:b/>
                <w:sz w:val="18"/>
                <w:szCs w:val="18"/>
              </w:rPr>
              <w:t>met</w:t>
            </w:r>
            <w:r>
              <w:rPr>
                <w:rFonts w:ascii="微软雅黑" w:hAnsi="微软雅黑" w:eastAsia="微软雅黑"/>
                <w:b/>
                <w:sz w:val="18"/>
                <w:szCs w:val="18"/>
              </w:rPr>
              <w:t>)</w:t>
            </w:r>
          </w:p>
        </w:tc>
        <w:tc>
          <w:tcPr>
            <w:tcW w:w="1183" w:type="dxa"/>
            <w:shd w:val="clear" w:color="auto" w:fill="E6E6E6"/>
            <w:vAlign w:val="center"/>
          </w:tcPr>
          <w:p w14:paraId="73570264">
            <w:pPr>
              <w:pStyle w:val="3"/>
              <w:spacing w:line="280" w:lineRule="exact"/>
              <w:ind w:firstLine="0" w:firstLineChars="0"/>
              <w:jc w:val="center"/>
              <w:rPr>
                <w:rFonts w:hint="eastAsia" w:ascii="微软雅黑" w:hAnsi="微软雅黑" w:eastAsia="微软雅黑"/>
                <w:b/>
                <w:sz w:val="18"/>
                <w:szCs w:val="18"/>
              </w:rPr>
            </w:pPr>
            <w:r>
              <w:rPr>
                <w:rFonts w:hint="eastAsia" w:ascii="微软雅黑" w:hAnsi="微软雅黑" w:eastAsia="微软雅黑"/>
                <w:b/>
                <w:sz w:val="18"/>
                <w:szCs w:val="18"/>
              </w:rPr>
              <w:t>人体代谢</w:t>
            </w:r>
          </w:p>
          <w:p w14:paraId="6C039FFA">
            <w:pPr>
              <w:pStyle w:val="3"/>
              <w:spacing w:line="280" w:lineRule="exact"/>
              <w:ind w:firstLine="0" w:firstLineChars="0"/>
              <w:jc w:val="center"/>
              <w:rPr>
                <w:rFonts w:hint="eastAsia" w:ascii="微软雅黑" w:hAnsi="微软雅黑" w:eastAsia="微软雅黑"/>
                <w:b/>
                <w:sz w:val="18"/>
                <w:szCs w:val="18"/>
              </w:rPr>
            </w:pPr>
            <w:r>
              <w:rPr>
                <w:rFonts w:ascii="微软雅黑" w:hAnsi="微软雅黑" w:eastAsia="微软雅黑"/>
                <w:b/>
                <w:sz w:val="18"/>
                <w:szCs w:val="18"/>
              </w:rPr>
              <w:t>(</w:t>
            </w:r>
            <w:r>
              <w:rPr>
                <w:rFonts w:hint="eastAsia" w:ascii="微软雅黑" w:hAnsi="微软雅黑" w:eastAsia="微软雅黑"/>
                <w:b/>
                <w:sz w:val="18"/>
                <w:szCs w:val="18"/>
              </w:rPr>
              <w:t>met</w:t>
            </w:r>
            <w:r>
              <w:rPr>
                <w:rFonts w:ascii="微软雅黑" w:hAnsi="微软雅黑" w:eastAsia="微软雅黑"/>
                <w:b/>
                <w:sz w:val="18"/>
                <w:szCs w:val="18"/>
              </w:rPr>
              <w:t>)</w:t>
            </w:r>
          </w:p>
        </w:tc>
        <w:tc>
          <w:tcPr>
            <w:tcW w:w="1184" w:type="dxa"/>
            <w:shd w:val="clear" w:color="auto" w:fill="E6E6E6"/>
            <w:vAlign w:val="center"/>
          </w:tcPr>
          <w:p w14:paraId="621D1827">
            <w:pPr>
              <w:pStyle w:val="3"/>
              <w:spacing w:line="280" w:lineRule="exact"/>
              <w:ind w:firstLine="0" w:firstLineChars="0"/>
              <w:jc w:val="center"/>
              <w:rPr>
                <w:rFonts w:hint="eastAsia" w:ascii="微软雅黑" w:hAnsi="微软雅黑" w:eastAsia="微软雅黑"/>
                <w:b/>
                <w:sz w:val="18"/>
                <w:szCs w:val="18"/>
              </w:rPr>
            </w:pPr>
            <w:r>
              <w:rPr>
                <w:rFonts w:hint="eastAsia" w:ascii="微软雅黑" w:hAnsi="微软雅黑" w:eastAsia="微软雅黑"/>
                <w:b/>
                <w:sz w:val="18"/>
                <w:szCs w:val="18"/>
              </w:rPr>
              <w:t>对外做功</w:t>
            </w:r>
          </w:p>
          <w:p w14:paraId="11348463">
            <w:pPr>
              <w:pStyle w:val="3"/>
              <w:spacing w:line="280" w:lineRule="exact"/>
              <w:ind w:firstLine="0" w:firstLineChars="0"/>
              <w:jc w:val="center"/>
              <w:rPr>
                <w:rFonts w:hint="eastAsia" w:ascii="微软雅黑" w:hAnsi="微软雅黑" w:eastAsia="微软雅黑"/>
                <w:b/>
                <w:sz w:val="18"/>
                <w:szCs w:val="18"/>
              </w:rPr>
            </w:pPr>
            <w:r>
              <w:rPr>
                <w:rFonts w:ascii="微软雅黑" w:hAnsi="微软雅黑" w:eastAsia="微软雅黑"/>
                <w:b/>
                <w:sz w:val="18"/>
                <w:szCs w:val="18"/>
              </w:rPr>
              <w:t>(</w:t>
            </w:r>
            <w:r>
              <w:rPr>
                <w:rFonts w:hint="eastAsia" w:ascii="微软雅黑" w:hAnsi="微软雅黑" w:eastAsia="微软雅黑"/>
                <w:b/>
                <w:sz w:val="18"/>
                <w:szCs w:val="18"/>
              </w:rPr>
              <w:t>met</w:t>
            </w:r>
            <w:r>
              <w:rPr>
                <w:rFonts w:ascii="微软雅黑" w:hAnsi="微软雅黑" w:eastAsia="微软雅黑"/>
                <w:b/>
                <w:sz w:val="18"/>
                <w:szCs w:val="18"/>
              </w:rPr>
              <w:t>)</w:t>
            </w:r>
          </w:p>
        </w:tc>
        <w:tc>
          <w:tcPr>
            <w:tcW w:w="1169" w:type="dxa"/>
            <w:shd w:val="clear" w:color="auto" w:fill="E6E6E6"/>
            <w:vAlign w:val="center"/>
          </w:tcPr>
          <w:p w14:paraId="26C772E1">
            <w:pPr>
              <w:pStyle w:val="3"/>
              <w:spacing w:line="280" w:lineRule="exact"/>
              <w:ind w:firstLine="0" w:firstLineChars="0"/>
              <w:jc w:val="center"/>
              <w:rPr>
                <w:rFonts w:hint="eastAsia" w:ascii="微软雅黑" w:hAnsi="微软雅黑" w:eastAsia="微软雅黑"/>
                <w:b/>
                <w:sz w:val="18"/>
                <w:szCs w:val="18"/>
              </w:rPr>
            </w:pPr>
            <w:r>
              <w:rPr>
                <w:rFonts w:hint="eastAsia" w:ascii="微软雅黑" w:hAnsi="微软雅黑" w:eastAsia="微软雅黑"/>
                <w:b/>
                <w:sz w:val="18"/>
                <w:szCs w:val="18"/>
              </w:rPr>
              <w:t>服装热阻</w:t>
            </w:r>
          </w:p>
          <w:p w14:paraId="4C8EDBF5">
            <w:pPr>
              <w:pStyle w:val="3"/>
              <w:spacing w:line="280" w:lineRule="exact"/>
              <w:ind w:firstLine="0" w:firstLineChars="0"/>
              <w:jc w:val="center"/>
              <w:rPr>
                <w:rFonts w:hint="eastAsia" w:ascii="微软雅黑" w:hAnsi="微软雅黑" w:eastAsia="微软雅黑"/>
                <w:b/>
                <w:sz w:val="18"/>
                <w:szCs w:val="18"/>
              </w:rPr>
            </w:pPr>
            <w:r>
              <w:rPr>
                <w:rFonts w:ascii="微软雅黑" w:hAnsi="微软雅黑" w:eastAsia="微软雅黑"/>
                <w:b/>
                <w:sz w:val="18"/>
                <w:szCs w:val="18"/>
              </w:rPr>
              <w:t>(</w:t>
            </w:r>
            <w:r>
              <w:rPr>
                <w:rFonts w:hint="eastAsia" w:ascii="微软雅黑" w:hAnsi="微软雅黑" w:eastAsia="微软雅黑"/>
                <w:b/>
                <w:sz w:val="18"/>
                <w:szCs w:val="18"/>
              </w:rPr>
              <w:t>clo</w:t>
            </w:r>
            <w:r>
              <w:rPr>
                <w:rFonts w:ascii="微软雅黑" w:hAnsi="微软雅黑" w:eastAsia="微软雅黑"/>
                <w:b/>
                <w:sz w:val="18"/>
                <w:szCs w:val="18"/>
              </w:rPr>
              <w:t>)</w:t>
            </w:r>
          </w:p>
        </w:tc>
      </w:tr>
      <w:bookmarkEnd w:id="71"/>
      <w:tr w14:paraId="0C9D8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Pr>
          <w:p w14:paraId="512DCA37">
            <w:pPr>
              <w:pStyle w:val="3"/>
              <w:spacing w:line="280" w:lineRule="exact"/>
              <w:ind w:firstLine="0" w:firstLineChars="0"/>
              <w:jc w:val="center"/>
              <w:rPr>
                <w:rFonts w:hint="eastAsia" w:ascii="微软雅黑" w:hAnsi="微软雅黑" w:eastAsia="微软雅黑"/>
                <w:sz w:val="18"/>
                <w:szCs w:val="18"/>
              </w:rPr>
            </w:pPr>
            <w:r>
              <w:rPr>
                <w:rFonts w:hint="eastAsia" w:ascii="微软雅黑" w:hAnsi="微软雅黑" w:eastAsia="微软雅黑"/>
                <w:sz w:val="18"/>
                <w:szCs w:val="18"/>
              </w:rPr>
              <w:t>供暖</w:t>
            </w:r>
          </w:p>
        </w:tc>
        <w:tc>
          <w:tcPr>
            <w:tcW w:w="778" w:type="dxa"/>
            <w:vAlign w:val="center"/>
          </w:tcPr>
          <w:p w14:paraId="64B38FEC">
            <w:pPr>
              <w:pStyle w:val="3"/>
              <w:spacing w:line="280" w:lineRule="exact"/>
              <w:ind w:firstLine="0" w:firstLineChars="0"/>
              <w:jc w:val="center"/>
              <w:rPr>
                <w:rFonts w:hint="eastAsia" w:ascii="微软雅黑" w:hAnsi="微软雅黑" w:eastAsia="微软雅黑"/>
                <w:sz w:val="18"/>
                <w:szCs w:val="18"/>
              </w:rPr>
            </w:pPr>
            <w:bookmarkStart w:id="73" w:name="温度"/>
            <w:bookmarkStart w:id="74" w:name="供暖期温度"/>
            <w:r>
              <w:t>20.00</w:t>
            </w:r>
            <w:bookmarkEnd w:id="73"/>
            <w:bookmarkEnd w:id="74"/>
          </w:p>
        </w:tc>
        <w:tc>
          <w:tcPr>
            <w:tcW w:w="895" w:type="dxa"/>
          </w:tcPr>
          <w:p w14:paraId="57A538CF">
            <w:pPr>
              <w:pStyle w:val="3"/>
              <w:spacing w:line="280" w:lineRule="exact"/>
              <w:ind w:firstLine="0" w:firstLineChars="0"/>
              <w:jc w:val="center"/>
              <w:rPr>
                <w:rFonts w:hint="eastAsia" w:ascii="微软雅黑" w:hAnsi="微软雅黑" w:eastAsia="微软雅黑"/>
                <w:sz w:val="18"/>
                <w:szCs w:val="18"/>
              </w:rPr>
            </w:pPr>
            <w:bookmarkStart w:id="75" w:name="供暖期风速"/>
            <w:bookmarkStart w:id="76" w:name="风速"/>
            <w:r>
              <w:t>0.10</w:t>
            </w:r>
            <w:bookmarkEnd w:id="75"/>
            <w:bookmarkEnd w:id="76"/>
          </w:p>
        </w:tc>
        <w:tc>
          <w:tcPr>
            <w:tcW w:w="1035" w:type="dxa"/>
          </w:tcPr>
          <w:p w14:paraId="78814280">
            <w:pPr>
              <w:pStyle w:val="3"/>
              <w:spacing w:line="280" w:lineRule="exact"/>
              <w:ind w:left="-733" w:leftChars="-349" w:firstLine="942" w:firstLineChars="449"/>
              <w:jc w:val="center"/>
              <w:rPr>
                <w:rFonts w:hint="eastAsia" w:ascii="微软雅黑" w:hAnsi="微软雅黑" w:eastAsia="微软雅黑"/>
                <w:sz w:val="18"/>
                <w:szCs w:val="18"/>
              </w:rPr>
            </w:pPr>
            <w:bookmarkStart w:id="77" w:name="供暖期相对湿度"/>
            <w:bookmarkStart w:id="78" w:name="相对湿度"/>
            <w:r>
              <w:t>40.0</w:t>
            </w:r>
            <w:bookmarkEnd w:id="77"/>
            <w:bookmarkEnd w:id="78"/>
          </w:p>
        </w:tc>
        <w:tc>
          <w:tcPr>
            <w:tcW w:w="1421" w:type="dxa"/>
          </w:tcPr>
          <w:p w14:paraId="11E11885">
            <w:pPr>
              <w:pStyle w:val="3"/>
              <w:spacing w:line="280" w:lineRule="exact"/>
              <w:ind w:firstLine="0" w:firstLineChars="0"/>
              <w:jc w:val="center"/>
              <w:rPr>
                <w:rFonts w:hint="eastAsia" w:ascii="微软雅黑" w:hAnsi="微软雅黑" w:eastAsia="微软雅黑"/>
                <w:sz w:val="18"/>
                <w:szCs w:val="18"/>
              </w:rPr>
            </w:pPr>
            <w:bookmarkStart w:id="79" w:name="平均辐射温度"/>
            <w:bookmarkStart w:id="80" w:name="供暖期平均辐射温度"/>
            <w:r>
              <w:t>20.00</w:t>
            </w:r>
            <w:bookmarkEnd w:id="79"/>
            <w:bookmarkEnd w:id="80"/>
          </w:p>
        </w:tc>
        <w:tc>
          <w:tcPr>
            <w:tcW w:w="1183" w:type="dxa"/>
          </w:tcPr>
          <w:p w14:paraId="03766F13">
            <w:pPr>
              <w:pStyle w:val="3"/>
              <w:spacing w:line="280" w:lineRule="exact"/>
              <w:ind w:firstLine="0" w:firstLineChars="0"/>
              <w:jc w:val="center"/>
              <w:rPr>
                <w:rFonts w:hint="eastAsia" w:ascii="微软雅黑" w:hAnsi="微软雅黑" w:eastAsia="微软雅黑"/>
                <w:sz w:val="18"/>
                <w:szCs w:val="18"/>
              </w:rPr>
            </w:pPr>
            <w:bookmarkStart w:id="81" w:name="供暖期人体代谢"/>
            <w:bookmarkStart w:id="82" w:name="人体代谢"/>
            <w:r>
              <w:t>1.20</w:t>
            </w:r>
            <w:bookmarkEnd w:id="81"/>
            <w:bookmarkEnd w:id="82"/>
          </w:p>
        </w:tc>
        <w:tc>
          <w:tcPr>
            <w:tcW w:w="1184" w:type="dxa"/>
          </w:tcPr>
          <w:p w14:paraId="718FEDB0">
            <w:pPr>
              <w:pStyle w:val="3"/>
              <w:spacing w:line="280" w:lineRule="exact"/>
              <w:ind w:firstLine="0" w:firstLineChars="0"/>
              <w:jc w:val="center"/>
              <w:rPr>
                <w:rFonts w:hint="eastAsia" w:ascii="微软雅黑" w:hAnsi="微软雅黑" w:eastAsia="微软雅黑"/>
                <w:sz w:val="18"/>
                <w:szCs w:val="18"/>
              </w:rPr>
            </w:pPr>
            <w:bookmarkStart w:id="83" w:name="供暖期对外做功"/>
            <w:bookmarkStart w:id="84" w:name="对外做功"/>
            <w:r>
              <w:t>0.00</w:t>
            </w:r>
            <w:bookmarkEnd w:id="83"/>
            <w:bookmarkEnd w:id="84"/>
          </w:p>
        </w:tc>
        <w:tc>
          <w:tcPr>
            <w:tcW w:w="1169" w:type="dxa"/>
          </w:tcPr>
          <w:p w14:paraId="399E6536">
            <w:pPr>
              <w:pStyle w:val="3"/>
              <w:spacing w:line="280" w:lineRule="exact"/>
              <w:ind w:firstLine="0" w:firstLineChars="0"/>
              <w:jc w:val="center"/>
              <w:rPr>
                <w:rFonts w:hint="eastAsia" w:ascii="微软雅黑" w:hAnsi="微软雅黑" w:eastAsia="微软雅黑"/>
                <w:sz w:val="18"/>
                <w:szCs w:val="18"/>
              </w:rPr>
            </w:pPr>
            <w:bookmarkStart w:id="85" w:name="服装热阻"/>
            <w:bookmarkStart w:id="86" w:name="供暖期服装热阻"/>
            <w:r>
              <w:t>1.20</w:t>
            </w:r>
            <w:bookmarkEnd w:id="85"/>
            <w:bookmarkEnd w:id="86"/>
          </w:p>
        </w:tc>
      </w:tr>
      <w:tr w14:paraId="7D817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Pr>
          <w:p w14:paraId="13661719">
            <w:pPr>
              <w:pStyle w:val="3"/>
              <w:spacing w:line="280" w:lineRule="exact"/>
              <w:ind w:firstLine="0" w:firstLineChars="0"/>
              <w:jc w:val="center"/>
              <w:rPr>
                <w:rFonts w:hint="eastAsia" w:ascii="微软雅黑" w:hAnsi="微软雅黑" w:eastAsia="微软雅黑"/>
                <w:sz w:val="18"/>
                <w:szCs w:val="18"/>
              </w:rPr>
            </w:pPr>
            <w:r>
              <w:rPr>
                <w:rFonts w:hint="eastAsia" w:ascii="微软雅黑" w:hAnsi="微软雅黑" w:eastAsia="微软雅黑"/>
                <w:sz w:val="18"/>
                <w:szCs w:val="18"/>
              </w:rPr>
              <w:t>供冷</w:t>
            </w:r>
          </w:p>
        </w:tc>
        <w:tc>
          <w:tcPr>
            <w:tcW w:w="778" w:type="dxa"/>
            <w:vAlign w:val="center"/>
          </w:tcPr>
          <w:p w14:paraId="4E90CD42">
            <w:pPr>
              <w:pStyle w:val="3"/>
              <w:spacing w:line="280" w:lineRule="exact"/>
              <w:ind w:firstLine="0" w:firstLineChars="0"/>
              <w:jc w:val="center"/>
              <w:rPr>
                <w:rFonts w:hint="eastAsia" w:ascii="微软雅黑" w:hAnsi="微软雅黑" w:eastAsia="微软雅黑"/>
                <w:sz w:val="18"/>
                <w:szCs w:val="18"/>
              </w:rPr>
            </w:pPr>
            <w:bookmarkStart w:id="87" w:name="供冷期温度"/>
            <w:r>
              <w:t>26.00</w:t>
            </w:r>
            <w:bookmarkEnd w:id="87"/>
          </w:p>
        </w:tc>
        <w:tc>
          <w:tcPr>
            <w:tcW w:w="895" w:type="dxa"/>
          </w:tcPr>
          <w:p w14:paraId="241F3924">
            <w:pPr>
              <w:pStyle w:val="3"/>
              <w:spacing w:line="280" w:lineRule="exact"/>
              <w:ind w:firstLine="0" w:firstLineChars="0"/>
              <w:jc w:val="center"/>
              <w:rPr>
                <w:rFonts w:hint="eastAsia" w:ascii="微软雅黑" w:hAnsi="微软雅黑" w:eastAsia="微软雅黑"/>
                <w:sz w:val="18"/>
                <w:szCs w:val="18"/>
              </w:rPr>
            </w:pPr>
            <w:bookmarkStart w:id="88" w:name="供冷期风速"/>
            <w:r>
              <w:t>0.10</w:t>
            </w:r>
            <w:bookmarkEnd w:id="88"/>
          </w:p>
        </w:tc>
        <w:tc>
          <w:tcPr>
            <w:tcW w:w="1035" w:type="dxa"/>
          </w:tcPr>
          <w:p w14:paraId="5CDFDD96">
            <w:pPr>
              <w:pStyle w:val="3"/>
              <w:spacing w:line="280" w:lineRule="exact"/>
              <w:ind w:left="-733" w:leftChars="-349" w:firstLine="942" w:firstLineChars="449"/>
              <w:jc w:val="center"/>
              <w:rPr>
                <w:rFonts w:hint="eastAsia" w:ascii="微软雅黑" w:hAnsi="微软雅黑" w:eastAsia="微软雅黑"/>
                <w:sz w:val="18"/>
                <w:szCs w:val="18"/>
              </w:rPr>
            </w:pPr>
            <w:bookmarkStart w:id="89" w:name="供冷期相对湿度"/>
            <w:r>
              <w:t>50.0</w:t>
            </w:r>
            <w:bookmarkEnd w:id="89"/>
          </w:p>
        </w:tc>
        <w:tc>
          <w:tcPr>
            <w:tcW w:w="1421" w:type="dxa"/>
          </w:tcPr>
          <w:p w14:paraId="1344B696">
            <w:pPr>
              <w:pStyle w:val="3"/>
              <w:spacing w:line="280" w:lineRule="exact"/>
              <w:ind w:firstLine="0" w:firstLineChars="0"/>
              <w:jc w:val="center"/>
              <w:rPr>
                <w:rFonts w:hint="eastAsia" w:ascii="微软雅黑" w:hAnsi="微软雅黑" w:eastAsia="微软雅黑"/>
                <w:sz w:val="18"/>
                <w:szCs w:val="18"/>
              </w:rPr>
            </w:pPr>
            <w:bookmarkStart w:id="90" w:name="供冷期平均辐射温度"/>
            <w:r>
              <w:t>26.00</w:t>
            </w:r>
            <w:bookmarkEnd w:id="90"/>
          </w:p>
        </w:tc>
        <w:tc>
          <w:tcPr>
            <w:tcW w:w="1183" w:type="dxa"/>
          </w:tcPr>
          <w:p w14:paraId="4E1D4BF8">
            <w:pPr>
              <w:pStyle w:val="3"/>
              <w:spacing w:line="280" w:lineRule="exact"/>
              <w:ind w:firstLine="0" w:firstLineChars="0"/>
              <w:jc w:val="center"/>
              <w:rPr>
                <w:rFonts w:hint="eastAsia" w:ascii="微软雅黑" w:hAnsi="微软雅黑" w:eastAsia="微软雅黑"/>
                <w:sz w:val="18"/>
                <w:szCs w:val="18"/>
              </w:rPr>
            </w:pPr>
            <w:bookmarkStart w:id="91" w:name="供冷期人体代谢"/>
            <w:r>
              <w:t>1.20</w:t>
            </w:r>
            <w:bookmarkEnd w:id="91"/>
          </w:p>
        </w:tc>
        <w:tc>
          <w:tcPr>
            <w:tcW w:w="1184" w:type="dxa"/>
          </w:tcPr>
          <w:p w14:paraId="54F83AC4">
            <w:pPr>
              <w:pStyle w:val="3"/>
              <w:spacing w:line="280" w:lineRule="exact"/>
              <w:ind w:firstLine="0" w:firstLineChars="0"/>
              <w:jc w:val="center"/>
              <w:rPr>
                <w:rFonts w:hint="eastAsia" w:ascii="微软雅黑" w:hAnsi="微软雅黑" w:eastAsia="微软雅黑"/>
                <w:sz w:val="18"/>
                <w:szCs w:val="18"/>
              </w:rPr>
            </w:pPr>
            <w:bookmarkStart w:id="92" w:name="供冷期对外做功"/>
            <w:r>
              <w:t>0.00</w:t>
            </w:r>
            <w:bookmarkEnd w:id="92"/>
          </w:p>
        </w:tc>
        <w:tc>
          <w:tcPr>
            <w:tcW w:w="1169" w:type="dxa"/>
          </w:tcPr>
          <w:p w14:paraId="51F34A98">
            <w:pPr>
              <w:pStyle w:val="3"/>
              <w:spacing w:line="280" w:lineRule="exact"/>
              <w:ind w:firstLine="0" w:firstLineChars="0"/>
              <w:jc w:val="center"/>
              <w:rPr>
                <w:rFonts w:hint="eastAsia" w:ascii="微软雅黑" w:hAnsi="微软雅黑" w:eastAsia="微软雅黑"/>
                <w:sz w:val="18"/>
                <w:szCs w:val="18"/>
              </w:rPr>
            </w:pPr>
            <w:bookmarkStart w:id="93" w:name="供冷期服装热阻"/>
            <w:r>
              <w:t>0.60</w:t>
            </w:r>
            <w:bookmarkEnd w:id="93"/>
          </w:p>
        </w:tc>
      </w:tr>
      <w:bookmarkEnd w:id="72"/>
    </w:tbl>
    <w:p w14:paraId="6AD01C2A">
      <w:pPr>
        <w:pStyle w:val="2"/>
        <w:spacing w:before="312"/>
        <w:rPr>
          <w:rFonts w:hint="eastAsia"/>
        </w:rPr>
      </w:pPr>
      <w:bookmarkStart w:id="94" w:name="_Toc44772825"/>
      <w:bookmarkStart w:id="95" w:name="_Toc11907"/>
      <w:r>
        <w:rPr>
          <w:rFonts w:hint="eastAsia"/>
        </w:rPr>
        <w:t>计算结果</w:t>
      </w:r>
      <w:bookmarkEnd w:id="94"/>
      <w:bookmarkEnd w:id="95"/>
    </w:p>
    <w:p w14:paraId="4CD569AC">
      <w:pPr>
        <w:pStyle w:val="4"/>
        <w:spacing w:before="156"/>
        <w:rPr>
          <w:rFonts w:hint="eastAsia"/>
        </w:rPr>
      </w:pPr>
      <w:bookmarkStart w:id="96" w:name="_Toc18500"/>
      <w:bookmarkStart w:id="97" w:name="_Toc44772826"/>
      <w:r>
        <w:rPr>
          <w:rFonts w:hint="eastAsia"/>
        </w:rPr>
        <w:t>PMV-PPD指标</w:t>
      </w:r>
      <w:bookmarkEnd w:id="96"/>
      <w:bookmarkEnd w:id="97"/>
    </w:p>
    <w:p w14:paraId="3243D369">
      <w:pPr>
        <w:pStyle w:val="3"/>
        <w:spacing w:line="400" w:lineRule="exact"/>
        <w:ind w:firstLine="420"/>
        <w:rPr>
          <w:rFonts w:hint="eastAsia" w:ascii="微软雅黑" w:hAnsi="微软雅黑" w:eastAsia="微软雅黑"/>
          <w:lang w:val="en-US"/>
        </w:rPr>
      </w:pPr>
      <w:r>
        <w:rPr>
          <w:rFonts w:hint="eastAsia" w:ascii="微软雅黑" w:hAnsi="微软雅黑" w:eastAsia="微软雅黑"/>
          <w:lang w:val="en-US"/>
        </w:rPr>
        <w:t>《民用建筑室内热湿环境评价标准》GB/T 50785-2012中给出如下评价标准。软件依据该标准对各个主要功能房间进行PMV以及PPD的达标面积统计，并且依据《绿色建筑评价技术细则》按照主要功能房间面积加权平均计算得出建筑的PMV-PPD整体评价结果。</w:t>
      </w:r>
    </w:p>
    <w:p w14:paraId="6F123A82">
      <w:pPr>
        <w:pStyle w:val="3"/>
        <w:spacing w:before="156" w:beforeLines="50" w:line="400" w:lineRule="exact"/>
        <w:ind w:firstLine="169" w:firstLineChars="94"/>
        <w:jc w:val="center"/>
        <w:rPr>
          <w:rFonts w:hint="eastAsia" w:ascii="微软雅黑" w:hAnsi="微软雅黑" w:eastAsia="微软雅黑" w:cs="宋体"/>
          <w:b/>
          <w:bCs/>
          <w:color w:val="333333"/>
          <w:sz w:val="18"/>
          <w:szCs w:val="18"/>
          <w:lang w:val="en-US"/>
        </w:rPr>
      </w:pPr>
      <w:r>
        <w:rPr>
          <w:rFonts w:hint="eastAsia" w:ascii="微软雅黑" w:hAnsi="微软雅黑" w:eastAsia="微软雅黑" w:cs="宋体"/>
          <w:b/>
          <w:bCs/>
          <w:color w:val="333333"/>
          <w:sz w:val="18"/>
          <w:szCs w:val="18"/>
          <w:lang w:val="en-US"/>
        </w:rPr>
        <w:t>表6.1   PMV-PPD整体评价指标</w:t>
      </w:r>
    </w:p>
    <w:tbl>
      <w:tblPr>
        <w:tblStyle w:val="22"/>
        <w:tblW w:w="8427" w:type="dxa"/>
        <w:tblInd w:w="108" w:type="dxa"/>
        <w:tblLayout w:type="autofit"/>
        <w:tblCellMar>
          <w:top w:w="0" w:type="dxa"/>
          <w:left w:w="108" w:type="dxa"/>
          <w:bottom w:w="0" w:type="dxa"/>
          <w:right w:w="108" w:type="dxa"/>
        </w:tblCellMar>
      </w:tblPr>
      <w:tblGrid>
        <w:gridCol w:w="1276"/>
        <w:gridCol w:w="2190"/>
        <w:gridCol w:w="4961"/>
      </w:tblGrid>
      <w:tr w14:paraId="680DD5B3">
        <w:tblPrEx>
          <w:tblCellMar>
            <w:top w:w="0" w:type="dxa"/>
            <w:left w:w="108" w:type="dxa"/>
            <w:bottom w:w="0" w:type="dxa"/>
            <w:right w:w="108" w:type="dxa"/>
          </w:tblCellMar>
        </w:tblPrEx>
        <w:trPr>
          <w:trHeight w:val="285" w:hRule="atLeast"/>
        </w:trPr>
        <w:tc>
          <w:tcPr>
            <w:tcW w:w="1276" w:type="dxa"/>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295B857D">
            <w:pPr>
              <w:tabs>
                <w:tab w:val="left" w:pos="0"/>
              </w:tabs>
              <w:spacing w:line="400" w:lineRule="exact"/>
              <w:ind w:hanging="2"/>
              <w:jc w:val="center"/>
              <w:rPr>
                <w:rFonts w:hint="eastAsia" w:ascii="微软雅黑" w:hAnsi="微软雅黑" w:eastAsia="微软雅黑"/>
                <w:b/>
                <w:sz w:val="18"/>
                <w:szCs w:val="18"/>
              </w:rPr>
            </w:pPr>
            <w:r>
              <w:rPr>
                <w:rFonts w:ascii="微软雅黑" w:hAnsi="微软雅黑" w:eastAsia="微软雅黑"/>
                <w:b/>
                <w:sz w:val="18"/>
                <w:szCs w:val="18"/>
              </w:rPr>
              <w:t>等级</w:t>
            </w:r>
          </w:p>
        </w:tc>
        <w:tc>
          <w:tcPr>
            <w:tcW w:w="7151" w:type="dxa"/>
            <w:gridSpan w:val="2"/>
            <w:tcBorders>
              <w:top w:val="single" w:color="auto" w:sz="4" w:space="0"/>
              <w:left w:val="nil"/>
              <w:bottom w:val="single" w:color="auto" w:sz="4" w:space="0"/>
              <w:right w:val="single" w:color="auto" w:sz="4" w:space="0"/>
            </w:tcBorders>
            <w:shd w:val="clear" w:color="auto" w:fill="D0CECE" w:themeFill="background2" w:themeFillShade="E6"/>
            <w:vAlign w:val="center"/>
          </w:tcPr>
          <w:p w14:paraId="371CD46B">
            <w:pPr>
              <w:tabs>
                <w:tab w:val="left" w:pos="0"/>
              </w:tabs>
              <w:spacing w:line="400" w:lineRule="exact"/>
              <w:jc w:val="center"/>
              <w:rPr>
                <w:rFonts w:hint="eastAsia" w:ascii="微软雅黑" w:hAnsi="微软雅黑" w:eastAsia="微软雅黑"/>
                <w:b/>
                <w:sz w:val="18"/>
                <w:szCs w:val="18"/>
              </w:rPr>
            </w:pPr>
            <w:r>
              <w:rPr>
                <w:rFonts w:ascii="微软雅黑" w:hAnsi="微软雅黑" w:eastAsia="微软雅黑"/>
                <w:b/>
                <w:sz w:val="18"/>
                <w:szCs w:val="18"/>
              </w:rPr>
              <w:t>整体评价指标</w:t>
            </w:r>
          </w:p>
        </w:tc>
      </w:tr>
      <w:tr w14:paraId="0CA7AA44">
        <w:tblPrEx>
          <w:tblCellMar>
            <w:top w:w="0" w:type="dxa"/>
            <w:left w:w="108" w:type="dxa"/>
            <w:bottom w:w="0" w:type="dxa"/>
            <w:right w:w="108" w:type="dxa"/>
          </w:tblCellMar>
        </w:tblPrEx>
        <w:trPr>
          <w:trHeight w:val="285" w:hRule="atLeast"/>
        </w:trPr>
        <w:tc>
          <w:tcPr>
            <w:tcW w:w="1276" w:type="dxa"/>
            <w:tcBorders>
              <w:top w:val="single" w:color="auto" w:sz="4" w:space="0"/>
              <w:left w:val="single" w:color="auto" w:sz="4" w:space="0"/>
              <w:bottom w:val="single" w:color="auto" w:sz="4" w:space="0"/>
              <w:right w:val="single" w:color="auto" w:sz="4" w:space="0"/>
            </w:tcBorders>
            <w:vAlign w:val="center"/>
          </w:tcPr>
          <w:p w14:paraId="75CC2325">
            <w:pPr>
              <w:tabs>
                <w:tab w:val="left" w:pos="0"/>
              </w:tabs>
              <w:spacing w:line="400" w:lineRule="exact"/>
              <w:ind w:hanging="2"/>
              <w:jc w:val="center"/>
              <w:rPr>
                <w:rFonts w:hint="eastAsia" w:ascii="微软雅黑" w:hAnsi="微软雅黑" w:eastAsia="微软雅黑"/>
                <w:sz w:val="18"/>
                <w:szCs w:val="18"/>
              </w:rPr>
            </w:pPr>
            <w:r>
              <w:rPr>
                <w:rFonts w:ascii="微软雅黑" w:hAnsi="微软雅黑" w:eastAsia="微软雅黑"/>
                <w:sz w:val="18"/>
                <w:szCs w:val="18"/>
              </w:rPr>
              <w:t>Ⅰ级</w:t>
            </w:r>
          </w:p>
        </w:tc>
        <w:tc>
          <w:tcPr>
            <w:tcW w:w="2190" w:type="dxa"/>
            <w:tcBorders>
              <w:top w:val="nil"/>
              <w:left w:val="nil"/>
              <w:bottom w:val="single" w:color="auto" w:sz="4" w:space="0"/>
              <w:right w:val="single" w:color="auto" w:sz="4" w:space="0"/>
            </w:tcBorders>
            <w:vAlign w:val="center"/>
          </w:tcPr>
          <w:p w14:paraId="336D2A98">
            <w:pPr>
              <w:tabs>
                <w:tab w:val="left" w:pos="0"/>
              </w:tabs>
              <w:spacing w:line="400" w:lineRule="exact"/>
              <w:jc w:val="center"/>
              <w:rPr>
                <w:rFonts w:hint="eastAsia" w:ascii="微软雅黑" w:hAnsi="微软雅黑" w:eastAsia="微软雅黑" w:cs="Tahoma"/>
                <w:color w:val="000000"/>
                <w:sz w:val="18"/>
                <w:szCs w:val="18"/>
                <w:lang w:val="en-US"/>
              </w:rPr>
            </w:pPr>
            <w:r>
              <w:rPr>
                <w:rFonts w:ascii="微软雅黑" w:hAnsi="微软雅黑" w:eastAsia="微软雅黑" w:cs="Tahoma"/>
                <w:color w:val="000000"/>
                <w:sz w:val="18"/>
                <w:szCs w:val="18"/>
                <w:lang w:val="en-US"/>
              </w:rPr>
              <w:t>PPD≤10％</w:t>
            </w:r>
          </w:p>
        </w:tc>
        <w:tc>
          <w:tcPr>
            <w:tcW w:w="4961" w:type="dxa"/>
            <w:tcBorders>
              <w:top w:val="nil"/>
              <w:left w:val="nil"/>
              <w:bottom w:val="single" w:color="auto" w:sz="4" w:space="0"/>
              <w:right w:val="single" w:color="auto" w:sz="4" w:space="0"/>
            </w:tcBorders>
            <w:vAlign w:val="center"/>
          </w:tcPr>
          <w:p w14:paraId="7E07CF46">
            <w:pPr>
              <w:tabs>
                <w:tab w:val="left" w:pos="0"/>
              </w:tabs>
              <w:spacing w:line="400" w:lineRule="exact"/>
              <w:jc w:val="center"/>
              <w:rPr>
                <w:rFonts w:hint="eastAsia" w:ascii="微软雅黑" w:hAnsi="微软雅黑" w:eastAsia="微软雅黑" w:cs="Tahoma"/>
                <w:color w:val="000000"/>
                <w:sz w:val="18"/>
                <w:szCs w:val="18"/>
                <w:lang w:val="en-US"/>
              </w:rPr>
            </w:pPr>
            <w:r>
              <w:rPr>
                <w:rFonts w:ascii="微软雅黑" w:hAnsi="微软雅黑" w:eastAsia="微软雅黑" w:cs="Tahoma"/>
                <w:color w:val="000000"/>
                <w:sz w:val="18"/>
                <w:szCs w:val="18"/>
                <w:lang w:val="en-US"/>
              </w:rPr>
              <w:t>－0.5≤PMV≤＋0.5</w:t>
            </w:r>
          </w:p>
        </w:tc>
      </w:tr>
      <w:tr w14:paraId="55BDCEFF">
        <w:tblPrEx>
          <w:tblCellMar>
            <w:top w:w="0" w:type="dxa"/>
            <w:left w:w="108" w:type="dxa"/>
            <w:bottom w:w="0" w:type="dxa"/>
            <w:right w:w="108" w:type="dxa"/>
          </w:tblCellMar>
        </w:tblPrEx>
        <w:trPr>
          <w:trHeight w:val="285" w:hRule="atLeast"/>
        </w:trPr>
        <w:tc>
          <w:tcPr>
            <w:tcW w:w="1276" w:type="dxa"/>
            <w:tcBorders>
              <w:top w:val="nil"/>
              <w:left w:val="single" w:color="auto" w:sz="4" w:space="0"/>
              <w:bottom w:val="single" w:color="auto" w:sz="4" w:space="0"/>
              <w:right w:val="single" w:color="auto" w:sz="4" w:space="0"/>
            </w:tcBorders>
            <w:vAlign w:val="center"/>
          </w:tcPr>
          <w:p w14:paraId="173BB3AB">
            <w:pPr>
              <w:tabs>
                <w:tab w:val="left" w:pos="0"/>
              </w:tabs>
              <w:spacing w:line="400" w:lineRule="exact"/>
              <w:ind w:hanging="2"/>
              <w:jc w:val="center"/>
              <w:rPr>
                <w:rFonts w:hint="eastAsia" w:ascii="微软雅黑" w:hAnsi="微软雅黑" w:eastAsia="微软雅黑"/>
                <w:sz w:val="18"/>
                <w:szCs w:val="18"/>
              </w:rPr>
            </w:pPr>
            <w:r>
              <w:rPr>
                <w:rFonts w:ascii="微软雅黑" w:hAnsi="微软雅黑" w:eastAsia="微软雅黑"/>
                <w:sz w:val="18"/>
                <w:szCs w:val="18"/>
              </w:rPr>
              <w:t>Ⅱ级</w:t>
            </w:r>
          </w:p>
        </w:tc>
        <w:tc>
          <w:tcPr>
            <w:tcW w:w="2190" w:type="dxa"/>
            <w:tcBorders>
              <w:top w:val="nil"/>
              <w:left w:val="nil"/>
              <w:bottom w:val="single" w:color="auto" w:sz="4" w:space="0"/>
              <w:right w:val="single" w:color="auto" w:sz="4" w:space="0"/>
            </w:tcBorders>
            <w:vAlign w:val="center"/>
          </w:tcPr>
          <w:p w14:paraId="68686D1A">
            <w:pPr>
              <w:tabs>
                <w:tab w:val="left" w:pos="0"/>
              </w:tabs>
              <w:spacing w:line="400" w:lineRule="exact"/>
              <w:jc w:val="center"/>
              <w:rPr>
                <w:rFonts w:hint="eastAsia" w:ascii="微软雅黑" w:hAnsi="微软雅黑" w:eastAsia="微软雅黑" w:cs="Tahoma"/>
                <w:color w:val="000000"/>
                <w:sz w:val="18"/>
                <w:szCs w:val="18"/>
                <w:lang w:val="en-US"/>
              </w:rPr>
            </w:pPr>
            <w:r>
              <w:rPr>
                <w:rFonts w:ascii="微软雅黑" w:hAnsi="微软雅黑" w:eastAsia="微软雅黑" w:cs="Tahoma"/>
                <w:color w:val="000000"/>
                <w:sz w:val="18"/>
                <w:szCs w:val="18"/>
                <w:lang w:val="en-US"/>
              </w:rPr>
              <w:t>10％＜PPD≤25％</w:t>
            </w:r>
          </w:p>
        </w:tc>
        <w:tc>
          <w:tcPr>
            <w:tcW w:w="4961" w:type="dxa"/>
            <w:tcBorders>
              <w:top w:val="nil"/>
              <w:left w:val="nil"/>
              <w:bottom w:val="single" w:color="auto" w:sz="4" w:space="0"/>
              <w:right w:val="single" w:color="auto" w:sz="4" w:space="0"/>
            </w:tcBorders>
            <w:vAlign w:val="center"/>
          </w:tcPr>
          <w:p w14:paraId="092E7150">
            <w:pPr>
              <w:tabs>
                <w:tab w:val="left" w:pos="0"/>
              </w:tabs>
              <w:spacing w:line="400" w:lineRule="exact"/>
              <w:jc w:val="center"/>
              <w:rPr>
                <w:rFonts w:hint="eastAsia" w:ascii="微软雅黑" w:hAnsi="微软雅黑" w:eastAsia="微软雅黑" w:cs="Tahoma"/>
                <w:color w:val="000000"/>
                <w:sz w:val="18"/>
                <w:szCs w:val="18"/>
                <w:lang w:val="en-US"/>
              </w:rPr>
            </w:pPr>
            <w:r>
              <w:rPr>
                <w:rFonts w:ascii="微软雅黑" w:hAnsi="微软雅黑" w:eastAsia="微软雅黑" w:cs="Tahoma"/>
                <w:color w:val="000000"/>
                <w:sz w:val="18"/>
                <w:szCs w:val="18"/>
                <w:lang w:val="en-US"/>
              </w:rPr>
              <w:t>－1≤PMV＜－0.5或＋0.5＜PMV≤＋1</w:t>
            </w:r>
          </w:p>
        </w:tc>
      </w:tr>
      <w:tr w14:paraId="66285714">
        <w:tblPrEx>
          <w:tblCellMar>
            <w:top w:w="0" w:type="dxa"/>
            <w:left w:w="108" w:type="dxa"/>
            <w:bottom w:w="0" w:type="dxa"/>
            <w:right w:w="108" w:type="dxa"/>
          </w:tblCellMar>
        </w:tblPrEx>
        <w:trPr>
          <w:trHeight w:val="285" w:hRule="atLeast"/>
        </w:trPr>
        <w:tc>
          <w:tcPr>
            <w:tcW w:w="1276" w:type="dxa"/>
            <w:tcBorders>
              <w:top w:val="nil"/>
              <w:left w:val="single" w:color="auto" w:sz="4" w:space="0"/>
              <w:bottom w:val="single" w:color="auto" w:sz="4" w:space="0"/>
              <w:right w:val="single" w:color="auto" w:sz="4" w:space="0"/>
            </w:tcBorders>
            <w:vAlign w:val="center"/>
          </w:tcPr>
          <w:p w14:paraId="6DBAEAAB">
            <w:pPr>
              <w:tabs>
                <w:tab w:val="left" w:pos="0"/>
              </w:tabs>
              <w:spacing w:line="400" w:lineRule="exact"/>
              <w:ind w:hanging="2"/>
              <w:jc w:val="center"/>
              <w:rPr>
                <w:rFonts w:hint="eastAsia" w:ascii="微软雅黑" w:hAnsi="微软雅黑" w:eastAsia="微软雅黑"/>
                <w:sz w:val="18"/>
                <w:szCs w:val="18"/>
              </w:rPr>
            </w:pPr>
            <w:r>
              <w:rPr>
                <w:rFonts w:ascii="微软雅黑" w:hAnsi="微软雅黑" w:eastAsia="微软雅黑"/>
                <w:sz w:val="18"/>
                <w:szCs w:val="18"/>
              </w:rPr>
              <w:t>Ⅲ级</w:t>
            </w:r>
          </w:p>
        </w:tc>
        <w:tc>
          <w:tcPr>
            <w:tcW w:w="2190" w:type="dxa"/>
            <w:tcBorders>
              <w:top w:val="nil"/>
              <w:left w:val="nil"/>
              <w:bottom w:val="single" w:color="auto" w:sz="4" w:space="0"/>
              <w:right w:val="single" w:color="auto" w:sz="4" w:space="0"/>
            </w:tcBorders>
            <w:vAlign w:val="center"/>
          </w:tcPr>
          <w:p w14:paraId="36C9A0C0">
            <w:pPr>
              <w:tabs>
                <w:tab w:val="left" w:pos="0"/>
              </w:tabs>
              <w:spacing w:line="400" w:lineRule="exact"/>
              <w:jc w:val="center"/>
              <w:rPr>
                <w:rFonts w:hint="eastAsia" w:ascii="微软雅黑" w:hAnsi="微软雅黑" w:eastAsia="微软雅黑" w:cs="Tahoma"/>
                <w:color w:val="000000"/>
                <w:sz w:val="18"/>
                <w:szCs w:val="18"/>
                <w:lang w:val="en-US"/>
              </w:rPr>
            </w:pPr>
            <w:r>
              <w:rPr>
                <w:rFonts w:ascii="微软雅黑" w:hAnsi="微软雅黑" w:eastAsia="微软雅黑" w:cs="Tahoma"/>
                <w:color w:val="000000"/>
                <w:sz w:val="18"/>
                <w:szCs w:val="18"/>
                <w:lang w:val="en-US"/>
              </w:rPr>
              <w:t>PPD＞25％</w:t>
            </w:r>
          </w:p>
        </w:tc>
        <w:tc>
          <w:tcPr>
            <w:tcW w:w="4961" w:type="dxa"/>
            <w:tcBorders>
              <w:top w:val="nil"/>
              <w:left w:val="nil"/>
              <w:bottom w:val="single" w:color="auto" w:sz="4" w:space="0"/>
              <w:right w:val="single" w:color="auto" w:sz="4" w:space="0"/>
            </w:tcBorders>
            <w:vAlign w:val="center"/>
          </w:tcPr>
          <w:p w14:paraId="7028BEB0">
            <w:pPr>
              <w:tabs>
                <w:tab w:val="left" w:pos="0"/>
              </w:tabs>
              <w:spacing w:line="400" w:lineRule="exact"/>
              <w:jc w:val="center"/>
              <w:rPr>
                <w:rFonts w:hint="eastAsia" w:ascii="微软雅黑" w:hAnsi="微软雅黑" w:eastAsia="微软雅黑" w:cs="Tahoma"/>
                <w:color w:val="000000"/>
                <w:sz w:val="18"/>
                <w:szCs w:val="18"/>
                <w:lang w:val="en-US"/>
              </w:rPr>
            </w:pPr>
            <w:r>
              <w:rPr>
                <w:rFonts w:ascii="微软雅黑" w:hAnsi="微软雅黑" w:eastAsia="微软雅黑" w:cs="Tahoma"/>
                <w:color w:val="000000"/>
                <w:sz w:val="18"/>
                <w:szCs w:val="18"/>
                <w:lang w:val="en-US"/>
              </w:rPr>
              <w:t>PMV＜－1或PMV＞＋1</w:t>
            </w:r>
          </w:p>
        </w:tc>
      </w:tr>
    </w:tbl>
    <w:p w14:paraId="34A17EE5">
      <w:pPr>
        <w:pStyle w:val="3"/>
        <w:spacing w:line="400" w:lineRule="exact"/>
        <w:ind w:firstLine="0" w:firstLineChars="0"/>
        <w:rPr>
          <w:rFonts w:hint="eastAsia" w:ascii="微软雅黑" w:hAnsi="微软雅黑" w:eastAsia="微软雅黑"/>
          <w:color w:val="FF0000"/>
          <w:lang w:val="en-US"/>
        </w:rPr>
      </w:pPr>
    </w:p>
    <w:p w14:paraId="328DEEDC">
      <w:pPr>
        <w:pStyle w:val="4"/>
        <w:spacing w:before="156"/>
        <w:rPr>
          <w:rFonts w:hint="eastAsia"/>
        </w:rPr>
      </w:pPr>
      <w:bookmarkStart w:id="98" w:name="达标统计表"/>
      <w:bookmarkEnd w:id="98"/>
      <w:bookmarkStart w:id="99" w:name="_Toc24662"/>
      <w:bookmarkStart w:id="100" w:name="_Toc44772827"/>
      <w:r>
        <w:rPr>
          <w:rFonts w:hint="eastAsia"/>
        </w:rPr>
        <w:t>达标情况</w:t>
      </w:r>
      <w:bookmarkEnd w:id="99"/>
      <w:bookmarkEnd w:id="100"/>
    </w:p>
    <w:p w14:paraId="0A113555">
      <w:pPr>
        <w:pStyle w:val="3"/>
        <w:spacing w:line="400" w:lineRule="exact"/>
        <w:ind w:left="143" w:leftChars="68" w:firstLine="420"/>
        <w:rPr>
          <w:rFonts w:hint="eastAsia" w:ascii="微软雅黑" w:hAnsi="微软雅黑" w:eastAsia="微软雅黑"/>
          <w:lang w:val="en-US"/>
        </w:rPr>
      </w:pPr>
      <w:r>
        <w:rPr>
          <w:rFonts w:hint="eastAsia" w:ascii="微软雅黑" w:hAnsi="微软雅黑" w:eastAsia="微软雅黑"/>
          <w:lang w:val="en-US"/>
        </w:rPr>
        <w:t>本项目结合前述计算参数对所有参评房间进行了PMV-PPD计算，</w:t>
      </w:r>
      <w:bookmarkStart w:id="101" w:name="供冷期达标"/>
      <w:bookmarkStart w:id="102" w:name="供冷期达标情况"/>
      <w:r>
        <w:rPr>
          <w:rFonts w:hint="eastAsia" w:ascii="微软雅黑" w:hAnsi="微软雅黑" w:eastAsia="微软雅黑"/>
          <w:lang w:val="en-US"/>
        </w:rPr>
        <w:t>供冷期</w:t>
      </w:r>
      <w:bookmarkEnd w:id="101"/>
      <w:bookmarkEnd w:id="102"/>
      <w:r>
        <w:rPr>
          <w:rFonts w:hint="eastAsia" w:ascii="微软雅黑" w:hAnsi="微软雅黑" w:eastAsia="微软雅黑"/>
          <w:lang w:val="en-US"/>
        </w:rPr>
        <w:t>PMV为</w:t>
      </w:r>
      <w:bookmarkStart w:id="103" w:name="PMV"/>
      <w:bookmarkStart w:id="104" w:name="供冷期PMV结果"/>
      <w:r>
        <w:rPr>
          <w:rFonts w:hint="eastAsia" w:ascii="微软雅黑" w:hAnsi="微软雅黑" w:eastAsia="微软雅黑"/>
          <w:lang w:val="en-US"/>
        </w:rPr>
        <w:t>0.51</w:t>
      </w:r>
      <w:bookmarkEnd w:id="103"/>
      <w:bookmarkEnd w:id="104"/>
      <w:r>
        <w:rPr>
          <w:rFonts w:hint="eastAsia" w:ascii="微软雅黑" w:hAnsi="微软雅黑" w:eastAsia="微软雅黑"/>
          <w:lang w:val="en-US"/>
        </w:rPr>
        <w:t>，PPD为</w:t>
      </w:r>
      <w:bookmarkStart w:id="105" w:name="PPD"/>
      <w:bookmarkStart w:id="106" w:name="供冷期PPD结果"/>
      <w:r>
        <w:rPr>
          <w:rFonts w:hint="eastAsia" w:ascii="微软雅黑" w:hAnsi="微软雅黑" w:eastAsia="微软雅黑"/>
          <w:lang w:val="en-US"/>
        </w:rPr>
        <w:t>10.05</w:t>
      </w:r>
      <w:bookmarkEnd w:id="105"/>
      <w:bookmarkEnd w:id="106"/>
      <w:r>
        <w:rPr>
          <w:rFonts w:hint="eastAsia" w:ascii="微软雅黑" w:hAnsi="微软雅黑" w:eastAsia="微软雅黑"/>
          <w:lang w:val="en-US"/>
        </w:rPr>
        <w:t>%，</w:t>
      </w:r>
      <w:bookmarkStart w:id="107" w:name="供暖期达标情况"/>
      <w:r>
        <w:rPr>
          <w:rFonts w:hint="eastAsia" w:ascii="微软雅黑" w:hAnsi="微软雅黑" w:eastAsia="微软雅黑"/>
          <w:lang w:val="en-US"/>
        </w:rPr>
        <w:t>供暖期</w:t>
      </w:r>
      <w:bookmarkEnd w:id="107"/>
      <w:r>
        <w:rPr>
          <w:rFonts w:hint="eastAsia" w:ascii="微软雅黑" w:hAnsi="微软雅黑" w:eastAsia="微软雅黑"/>
          <w:lang w:val="en-US"/>
        </w:rPr>
        <w:t>P</w:t>
      </w:r>
      <w:r>
        <w:rPr>
          <w:rFonts w:ascii="微软雅黑" w:hAnsi="微软雅黑" w:eastAsia="微软雅黑"/>
          <w:lang w:val="en-US"/>
        </w:rPr>
        <w:t>MV</w:t>
      </w:r>
      <w:r>
        <w:rPr>
          <w:rFonts w:hint="eastAsia" w:ascii="微软雅黑" w:hAnsi="微软雅黑" w:eastAsia="微软雅黑"/>
          <w:lang w:val="en-US"/>
        </w:rPr>
        <w:t>为</w:t>
      </w:r>
      <w:bookmarkStart w:id="108" w:name="供暖期PMV结果"/>
      <w:r>
        <w:rPr>
          <w:rFonts w:hint="eastAsia" w:ascii="微软雅黑" w:hAnsi="微软雅黑" w:eastAsia="微软雅黑"/>
          <w:lang w:val="en-US"/>
        </w:rPr>
        <w:t>-0.16</w:t>
      </w:r>
      <w:bookmarkEnd w:id="108"/>
      <w:r>
        <w:rPr>
          <w:rFonts w:hint="eastAsia" w:ascii="微软雅黑" w:hAnsi="微软雅黑" w:eastAsia="微软雅黑"/>
          <w:lang w:val="en-US"/>
        </w:rPr>
        <w:t>，P</w:t>
      </w:r>
      <w:r>
        <w:rPr>
          <w:rFonts w:ascii="微软雅黑" w:hAnsi="微软雅黑" w:eastAsia="微软雅黑"/>
          <w:lang w:val="en-US"/>
        </w:rPr>
        <w:t>PD</w:t>
      </w:r>
      <w:r>
        <w:rPr>
          <w:rFonts w:hint="eastAsia" w:ascii="微软雅黑" w:hAnsi="微软雅黑" w:eastAsia="微软雅黑"/>
          <w:lang w:val="en-US"/>
        </w:rPr>
        <w:t>为</w:t>
      </w:r>
      <w:bookmarkStart w:id="109" w:name="供暖期PPD结果"/>
      <w:r>
        <w:rPr>
          <w:rFonts w:hint="eastAsia" w:ascii="微软雅黑" w:hAnsi="微软雅黑" w:eastAsia="微软雅黑"/>
          <w:lang w:val="en-US"/>
        </w:rPr>
        <w:t>5.47</w:t>
      </w:r>
      <w:bookmarkEnd w:id="109"/>
      <w:r>
        <w:rPr>
          <w:rFonts w:ascii="微软雅黑" w:hAnsi="微软雅黑" w:eastAsia="微软雅黑"/>
          <w:lang w:val="en-US"/>
        </w:rPr>
        <w:t>%</w:t>
      </w:r>
      <w:r>
        <w:rPr>
          <w:rFonts w:hint="eastAsia" w:ascii="微软雅黑" w:hAnsi="微软雅黑" w:eastAsia="微软雅黑"/>
          <w:lang w:val="en-US"/>
        </w:rPr>
        <w:t>。本项目房间内热湿环境参数分布均匀，因此达标面积比例为</w:t>
      </w:r>
      <w:bookmarkStart w:id="110" w:name="最不利工况达标比例"/>
      <w:r>
        <w:rPr>
          <w:rFonts w:hint="eastAsia" w:ascii="微软雅黑" w:hAnsi="微软雅黑" w:eastAsia="微软雅黑"/>
          <w:lang w:val="en-US"/>
        </w:rPr>
        <w:t>100.00%</w:t>
      </w:r>
      <w:bookmarkEnd w:id="110"/>
      <w:r>
        <w:rPr>
          <w:rFonts w:hint="eastAsia" w:ascii="微软雅黑" w:hAnsi="微软雅黑" w:eastAsia="微软雅黑"/>
          <w:lang w:val="en-US"/>
        </w:rPr>
        <w:t>。</w:t>
      </w:r>
    </w:p>
    <w:p w14:paraId="5137B553">
      <w:pPr>
        <w:spacing w:line="400" w:lineRule="exact"/>
        <w:ind w:firstLine="213" w:firstLineChars="97"/>
        <w:rPr>
          <w:rFonts w:hint="eastAsia" w:ascii="微软雅黑" w:hAnsi="微软雅黑" w:eastAsia="微软雅黑"/>
          <w:sz w:val="22"/>
          <w:szCs w:val="24"/>
        </w:rPr>
      </w:pPr>
    </w:p>
    <w:p w14:paraId="61341AE0">
      <w:pPr>
        <w:spacing w:line="400" w:lineRule="exact"/>
        <w:ind w:firstLine="174" w:firstLineChars="97"/>
        <w:rPr>
          <w:rFonts w:hint="eastAsia" w:ascii="微软雅黑" w:hAnsi="微软雅黑" w:eastAsia="微软雅黑"/>
          <w:sz w:val="18"/>
          <w:szCs w:val="18"/>
        </w:rPr>
      </w:pPr>
      <w:r>
        <w:rPr>
          <w:rFonts w:hint="eastAsia" w:ascii="微软雅黑" w:hAnsi="微软雅黑" w:eastAsia="微软雅黑"/>
          <w:sz w:val="18"/>
          <w:szCs w:val="18"/>
        </w:rPr>
        <w:t>说明：建筑整体的PMV-PPD达标面积比例按照建筑各主要功能房间的计算值进行面积加权平均得出。</w:t>
      </w:r>
    </w:p>
    <w:p w14:paraId="26F7E888">
      <w:pPr>
        <w:pStyle w:val="2"/>
        <w:spacing w:before="312"/>
        <w:rPr>
          <w:rFonts w:hint="eastAsia"/>
        </w:rPr>
      </w:pPr>
      <w:bookmarkStart w:id="111" w:name="_Toc31820"/>
      <w:bookmarkStart w:id="112" w:name="_Toc44772828"/>
      <w:bookmarkStart w:id="113" w:name="_Toc44662482"/>
      <w:r>
        <w:rPr>
          <w:rFonts w:hint="eastAsia"/>
        </w:rPr>
        <w:t>结论</w:t>
      </w:r>
      <w:bookmarkEnd w:id="111"/>
      <w:bookmarkEnd w:id="112"/>
      <w:bookmarkEnd w:id="113"/>
    </w:p>
    <w:p w14:paraId="0FA06521">
      <w:pPr>
        <w:pStyle w:val="3"/>
        <w:spacing w:line="400" w:lineRule="exact"/>
        <w:ind w:firstLine="420"/>
        <w:rPr>
          <w:rFonts w:hint="eastAsia" w:ascii="微软雅黑" w:hAnsi="微软雅黑" w:eastAsia="微软雅黑"/>
          <w:lang w:val="en-US"/>
        </w:rPr>
      </w:pPr>
      <w:r>
        <w:rPr>
          <w:rFonts w:hint="eastAsia" w:ascii="微软雅黑" w:hAnsi="微软雅黑" w:eastAsia="微软雅黑"/>
          <w:lang w:val="en-US"/>
        </w:rPr>
        <w:t>该建筑主要功能房间热湿环境评价</w:t>
      </w:r>
      <w:r>
        <w:rPr>
          <w:rFonts w:ascii="微软雅黑" w:hAnsi="微软雅黑" w:eastAsia="微软雅黑"/>
          <w:lang w:val="en-US"/>
        </w:rPr>
        <w:t>指标</w:t>
      </w:r>
      <w:r>
        <w:rPr>
          <w:rFonts w:hint="eastAsia" w:ascii="微软雅黑" w:hAnsi="微软雅黑" w:eastAsia="微软雅黑"/>
          <w:lang w:val="en-US"/>
        </w:rPr>
        <w:t>PMV和PPD达到整体评价</w:t>
      </w:r>
      <w:r>
        <w:rPr>
          <w:rFonts w:ascii="微软雅黑" w:hAnsi="微软雅黑" w:eastAsia="微软雅黑"/>
          <w:lang w:val="en-US"/>
        </w:rPr>
        <w:fldChar w:fldCharType="begin"/>
      </w:r>
      <w:r>
        <w:rPr>
          <w:rFonts w:ascii="微软雅黑" w:hAnsi="微软雅黑" w:eastAsia="微软雅黑"/>
          <w:lang w:val="en-US"/>
        </w:rPr>
        <w:instrText xml:space="preserve"> </w:instrText>
      </w:r>
      <w:r>
        <w:rPr>
          <w:rFonts w:hint="eastAsia" w:ascii="微软雅黑" w:hAnsi="微软雅黑" w:eastAsia="微软雅黑"/>
          <w:lang w:val="en-US"/>
        </w:rPr>
        <w:instrText xml:space="preserve">= 2 \* ROMAN</w:instrText>
      </w:r>
      <w:r>
        <w:rPr>
          <w:rFonts w:ascii="微软雅黑" w:hAnsi="微软雅黑" w:eastAsia="微软雅黑"/>
          <w:lang w:val="en-US"/>
        </w:rPr>
        <w:instrText xml:space="preserve"> </w:instrText>
      </w:r>
      <w:r>
        <w:rPr>
          <w:rFonts w:ascii="微软雅黑" w:hAnsi="微软雅黑" w:eastAsia="微软雅黑"/>
          <w:lang w:val="en-US"/>
        </w:rPr>
        <w:fldChar w:fldCharType="separate"/>
      </w:r>
      <w:r>
        <w:rPr>
          <w:rFonts w:hint="eastAsia" w:ascii="微软雅黑" w:hAnsi="微软雅黑" w:eastAsia="微软雅黑"/>
          <w:lang w:val="en-US"/>
        </w:rPr>
        <w:t>II</w:t>
      </w:r>
      <w:r>
        <w:rPr>
          <w:rFonts w:ascii="微软雅黑" w:hAnsi="微软雅黑" w:eastAsia="微软雅黑"/>
          <w:lang w:val="en-US"/>
        </w:rPr>
        <w:fldChar w:fldCharType="end"/>
      </w:r>
      <w:r>
        <w:rPr>
          <w:rFonts w:hint="eastAsia" w:ascii="微软雅黑" w:hAnsi="微软雅黑" w:eastAsia="微软雅黑"/>
          <w:lang w:val="en-US"/>
        </w:rPr>
        <w:t>级的面积比例为</w:t>
      </w:r>
      <w:bookmarkStart w:id="114" w:name="达标百分比"/>
      <w:r>
        <w:rPr>
          <w:rFonts w:hint="eastAsia" w:ascii="微软雅黑" w:hAnsi="微软雅黑" w:eastAsia="微软雅黑"/>
          <w:lang w:val="en-US"/>
        </w:rPr>
        <w:t>100.00%</w:t>
      </w:r>
      <w:bookmarkEnd w:id="114"/>
      <w:r>
        <w:rPr>
          <w:rFonts w:hint="eastAsia" w:ascii="微软雅黑" w:hAnsi="微软雅黑" w:eastAsia="微软雅黑"/>
          <w:lang w:val="en-US"/>
        </w:rPr>
        <w:t>，根据绿标5.2.9，应得</w:t>
      </w:r>
      <w:bookmarkStart w:id="115" w:name="得分"/>
      <w:r>
        <w:rPr>
          <w:rFonts w:hint="eastAsia" w:ascii="微软雅黑" w:hAnsi="微软雅黑" w:eastAsia="微软雅黑"/>
          <w:lang w:val="en-US"/>
        </w:rPr>
        <w:t>8</w:t>
      </w:r>
      <w:bookmarkEnd w:id="115"/>
      <w:r>
        <w:rPr>
          <w:rFonts w:hint="eastAsia" w:ascii="微软雅黑" w:hAnsi="微软雅黑" w:eastAsia="微软雅黑"/>
          <w:lang w:val="en-US"/>
        </w:rPr>
        <w:t>分。</w:t>
      </w:r>
    </w:p>
    <w:p w14:paraId="17544D8D">
      <w:pPr>
        <w:pStyle w:val="3"/>
        <w:ind w:firstLine="0" w:firstLineChars="0"/>
        <w:rPr>
          <w:lang w:val="en-US"/>
        </w:rPr>
      </w:pPr>
    </w:p>
    <w:sectPr>
      <w:pgSz w:w="11906" w:h="16838"/>
      <w:pgMar w:top="1440" w:right="1800" w:bottom="1440" w:left="1800" w:header="794" w:footer="516"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2"/>
      <w:tblW w:w="0" w:type="auto"/>
      <w:tblInd w:w="0" w:type="dxa"/>
      <w:tblLayout w:type="autofit"/>
      <w:tblCellMar>
        <w:top w:w="0" w:type="dxa"/>
        <w:left w:w="108" w:type="dxa"/>
        <w:bottom w:w="0" w:type="dxa"/>
        <w:right w:w="108" w:type="dxa"/>
      </w:tblCellMar>
    </w:tblPr>
    <w:tblGrid>
      <w:gridCol w:w="2840"/>
      <w:gridCol w:w="2841"/>
      <w:gridCol w:w="2841"/>
    </w:tblGrid>
    <w:tr w14:paraId="14BA46B7">
      <w:tblPrEx>
        <w:tblCellMar>
          <w:top w:w="0" w:type="dxa"/>
          <w:left w:w="108" w:type="dxa"/>
          <w:bottom w:w="0" w:type="dxa"/>
          <w:right w:w="108" w:type="dxa"/>
        </w:tblCellMar>
      </w:tblPrEx>
      <w:tc>
        <w:tcPr>
          <w:tcW w:w="2840" w:type="dxa"/>
        </w:tcPr>
        <w:p w14:paraId="6841A753">
          <w:pPr>
            <w:pStyle w:val="17"/>
            <w:rPr>
              <w:rFonts w:hint="eastAsia" w:ascii="微软雅黑" w:hAnsi="微软雅黑" w:eastAsia="微软雅黑"/>
              <w:sz w:val="20"/>
              <w:szCs w:val="21"/>
            </w:rPr>
          </w:pPr>
        </w:p>
      </w:tc>
      <w:tc>
        <w:tcPr>
          <w:tcW w:w="2841" w:type="dxa"/>
        </w:tcPr>
        <w:p w14:paraId="39BCFCEF">
          <w:pPr>
            <w:pStyle w:val="17"/>
            <w:jc w:val="center"/>
            <w:rPr>
              <w:rFonts w:hint="eastAsia" w:ascii="微软雅黑" w:hAnsi="微软雅黑" w:eastAsia="微软雅黑"/>
              <w:sz w:val="20"/>
              <w:szCs w:val="21"/>
            </w:rPr>
          </w:pPr>
          <w:r>
            <w:rPr>
              <w:rFonts w:hint="eastAsia" w:ascii="微软雅黑" w:hAnsi="微软雅黑" w:eastAsia="微软雅黑"/>
              <w:sz w:val="20"/>
            </w:rPr>
            <w:t>第</w:t>
          </w:r>
          <w:r>
            <w:rPr>
              <w:rFonts w:ascii="微软雅黑" w:hAnsi="微软雅黑" w:eastAsia="微软雅黑"/>
              <w:bCs/>
              <w:sz w:val="20"/>
              <w:szCs w:val="21"/>
            </w:rPr>
            <w:fldChar w:fldCharType="begin"/>
          </w:r>
          <w:r>
            <w:rPr>
              <w:rFonts w:ascii="微软雅黑" w:hAnsi="微软雅黑" w:eastAsia="微软雅黑"/>
              <w:bCs/>
              <w:sz w:val="20"/>
              <w:szCs w:val="21"/>
            </w:rPr>
            <w:instrText xml:space="preserve">PAGE</w:instrText>
          </w:r>
          <w:r>
            <w:rPr>
              <w:rFonts w:ascii="微软雅黑" w:hAnsi="微软雅黑" w:eastAsia="微软雅黑"/>
              <w:bCs/>
              <w:sz w:val="20"/>
              <w:szCs w:val="21"/>
            </w:rPr>
            <w:fldChar w:fldCharType="separate"/>
          </w:r>
          <w:r>
            <w:rPr>
              <w:rFonts w:ascii="微软雅黑" w:hAnsi="微软雅黑" w:eastAsia="微软雅黑"/>
              <w:bCs/>
              <w:sz w:val="20"/>
              <w:szCs w:val="21"/>
            </w:rPr>
            <w:t>6</w:t>
          </w:r>
          <w:r>
            <w:rPr>
              <w:rFonts w:ascii="微软雅黑" w:hAnsi="微软雅黑" w:eastAsia="微软雅黑"/>
              <w:bCs/>
              <w:sz w:val="20"/>
              <w:szCs w:val="21"/>
            </w:rPr>
            <w:fldChar w:fldCharType="end"/>
          </w:r>
          <w:r>
            <w:rPr>
              <w:rFonts w:hint="eastAsia" w:ascii="微软雅黑" w:hAnsi="微软雅黑" w:eastAsia="微软雅黑"/>
              <w:sz w:val="20"/>
              <w:szCs w:val="21"/>
              <w:lang w:val="zh-CN"/>
            </w:rPr>
            <w:t>页 共</w:t>
          </w:r>
          <w:r>
            <w:rPr>
              <w:rFonts w:ascii="微软雅黑" w:hAnsi="微软雅黑" w:eastAsia="微软雅黑"/>
              <w:bCs/>
              <w:sz w:val="20"/>
              <w:szCs w:val="21"/>
            </w:rPr>
            <w:fldChar w:fldCharType="begin"/>
          </w:r>
          <w:r>
            <w:rPr>
              <w:rFonts w:ascii="微软雅黑" w:hAnsi="微软雅黑" w:eastAsia="微软雅黑"/>
              <w:bCs/>
              <w:sz w:val="20"/>
              <w:szCs w:val="21"/>
            </w:rPr>
            <w:instrText xml:space="preserve">NUMPAGES</w:instrText>
          </w:r>
          <w:r>
            <w:rPr>
              <w:rFonts w:ascii="微软雅黑" w:hAnsi="微软雅黑" w:eastAsia="微软雅黑"/>
              <w:bCs/>
              <w:sz w:val="20"/>
              <w:szCs w:val="21"/>
            </w:rPr>
            <w:fldChar w:fldCharType="separate"/>
          </w:r>
          <w:r>
            <w:rPr>
              <w:rFonts w:ascii="微软雅黑" w:hAnsi="微软雅黑" w:eastAsia="微软雅黑"/>
              <w:bCs/>
              <w:sz w:val="20"/>
              <w:szCs w:val="21"/>
            </w:rPr>
            <w:t>6</w:t>
          </w:r>
          <w:r>
            <w:rPr>
              <w:rFonts w:ascii="微软雅黑" w:hAnsi="微软雅黑" w:eastAsia="微软雅黑"/>
              <w:bCs/>
              <w:sz w:val="20"/>
              <w:szCs w:val="21"/>
            </w:rPr>
            <w:fldChar w:fldCharType="end"/>
          </w:r>
          <w:r>
            <w:rPr>
              <w:rFonts w:hint="eastAsia" w:ascii="微软雅黑" w:hAnsi="微软雅黑" w:eastAsia="微软雅黑"/>
              <w:bCs/>
              <w:sz w:val="20"/>
              <w:szCs w:val="21"/>
            </w:rPr>
            <w:t>页</w:t>
          </w:r>
        </w:p>
      </w:tc>
      <w:tc>
        <w:tcPr>
          <w:tcW w:w="2841" w:type="dxa"/>
        </w:tcPr>
        <w:p w14:paraId="2240383D">
          <w:pPr>
            <w:pStyle w:val="17"/>
            <w:jc w:val="right"/>
            <w:rPr>
              <w:rFonts w:hint="eastAsia" w:ascii="微软雅黑" w:hAnsi="微软雅黑" w:eastAsia="微软雅黑"/>
              <w:sz w:val="20"/>
              <w:szCs w:val="21"/>
            </w:rPr>
          </w:pPr>
        </w:p>
      </w:tc>
    </w:tr>
  </w:tbl>
  <w:p w14:paraId="4937AA0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1003D">
    <w:pPr>
      <w:pStyle w:val="17"/>
      <w:jc w:val="center"/>
      <w:rPr>
        <w:rFonts w:hint="eastAsia" w:ascii="宋体" w:hAnsi="宋体"/>
        <w:szCs w:val="21"/>
      </w:rPr>
    </w:pPr>
  </w:p>
  <w:p w14:paraId="7CE2E56B">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0BDE7">
    <w:pPr>
      <w:pStyle w:val="18"/>
      <w:pBdr>
        <w:bottom w:val="single" w:color="auto" w:sz="6" w:space="0"/>
      </w:pBdr>
      <w:tabs>
        <w:tab w:val="center" w:pos="5031"/>
        <w:tab w:val="right" w:pos="10063"/>
        <w:tab w:val="clear" w:pos="4153"/>
        <w:tab w:val="clear" w:pos="8306"/>
      </w:tabs>
      <w:jc w:val="left"/>
      <w:rPr>
        <w:rFonts w:hint="eastAsia" w:ascii="微软雅黑" w:hAnsi="微软雅黑" w:eastAsia="微软雅黑"/>
      </w:rPr>
    </w:pPr>
    <w:r>
      <w:rPr>
        <w:rFonts w:ascii="微软雅黑" w:hAnsi="微软雅黑" w:eastAsia="微软雅黑"/>
        <w:lang w:val="en-US"/>
      </w:rPr>
      <w:drawing>
        <wp:inline distT="0" distB="0" distL="0" distR="0">
          <wp:extent cx="866775" cy="2476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66775" cy="247650"/>
                  </a:xfrm>
                  <a:prstGeom prst="rect">
                    <a:avLst/>
                  </a:prstGeom>
                  <a:noFill/>
                  <a:ln>
                    <a:noFill/>
                  </a:ln>
                </pic:spPr>
              </pic:pic>
            </a:graphicData>
          </a:graphic>
        </wp:inline>
      </w:drawing>
    </w:r>
    <w:r>
      <w:rPr>
        <w:rFonts w:ascii="微软雅黑" w:hAnsi="微软雅黑" w:eastAsia="微软雅黑"/>
      </w:rPr>
      <w:tab/>
    </w:r>
    <w:r>
      <w:rPr>
        <w:rFonts w:hint="eastAsia" w:ascii="微软雅黑" w:hAnsi="微软雅黑" w:eastAsia="微软雅黑"/>
      </w:rPr>
      <w:t xml:space="preserve">                                      室内PMV-PPD达标比例报告书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1"/>
        <w:szCs w:val="21"/>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0B1649"/>
    <w:rsid w:val="00000112"/>
    <w:rsid w:val="00005045"/>
    <w:rsid w:val="0000578F"/>
    <w:rsid w:val="0002001E"/>
    <w:rsid w:val="000209D7"/>
    <w:rsid w:val="000219DF"/>
    <w:rsid w:val="00026604"/>
    <w:rsid w:val="00030083"/>
    <w:rsid w:val="00037A4C"/>
    <w:rsid w:val="00051007"/>
    <w:rsid w:val="00061E8B"/>
    <w:rsid w:val="000678A8"/>
    <w:rsid w:val="00067FD6"/>
    <w:rsid w:val="00070047"/>
    <w:rsid w:val="00073958"/>
    <w:rsid w:val="00081A16"/>
    <w:rsid w:val="00097013"/>
    <w:rsid w:val="000C1855"/>
    <w:rsid w:val="000C291D"/>
    <w:rsid w:val="000C3B77"/>
    <w:rsid w:val="000C6A98"/>
    <w:rsid w:val="000D0892"/>
    <w:rsid w:val="000D16B8"/>
    <w:rsid w:val="000D7A8A"/>
    <w:rsid w:val="000E6C02"/>
    <w:rsid w:val="000F14F7"/>
    <w:rsid w:val="000F63BF"/>
    <w:rsid w:val="000F7EF2"/>
    <w:rsid w:val="0010102D"/>
    <w:rsid w:val="00101EBF"/>
    <w:rsid w:val="00106871"/>
    <w:rsid w:val="001105DA"/>
    <w:rsid w:val="00111EDF"/>
    <w:rsid w:val="00112118"/>
    <w:rsid w:val="00112DC5"/>
    <w:rsid w:val="00117E84"/>
    <w:rsid w:val="00120AB8"/>
    <w:rsid w:val="00122AE1"/>
    <w:rsid w:val="00122DD1"/>
    <w:rsid w:val="001240BB"/>
    <w:rsid w:val="00124784"/>
    <w:rsid w:val="00124E90"/>
    <w:rsid w:val="00134709"/>
    <w:rsid w:val="001428A7"/>
    <w:rsid w:val="0014776A"/>
    <w:rsid w:val="00147DF5"/>
    <w:rsid w:val="001511A3"/>
    <w:rsid w:val="00153AEE"/>
    <w:rsid w:val="001570B9"/>
    <w:rsid w:val="0016330F"/>
    <w:rsid w:val="00172AE4"/>
    <w:rsid w:val="001737F9"/>
    <w:rsid w:val="0017652D"/>
    <w:rsid w:val="00176F98"/>
    <w:rsid w:val="001773DA"/>
    <w:rsid w:val="00184656"/>
    <w:rsid w:val="00186918"/>
    <w:rsid w:val="001A12A0"/>
    <w:rsid w:val="001A4175"/>
    <w:rsid w:val="001A7C37"/>
    <w:rsid w:val="001B04CB"/>
    <w:rsid w:val="001B44A0"/>
    <w:rsid w:val="001B453D"/>
    <w:rsid w:val="001B7C87"/>
    <w:rsid w:val="001C1C39"/>
    <w:rsid w:val="001D062E"/>
    <w:rsid w:val="001D3071"/>
    <w:rsid w:val="001D3BB9"/>
    <w:rsid w:val="001D7BE2"/>
    <w:rsid w:val="001E133A"/>
    <w:rsid w:val="00200587"/>
    <w:rsid w:val="00201812"/>
    <w:rsid w:val="00203163"/>
    <w:rsid w:val="00203A7D"/>
    <w:rsid w:val="00215EBC"/>
    <w:rsid w:val="00217F09"/>
    <w:rsid w:val="0022597C"/>
    <w:rsid w:val="0023340F"/>
    <w:rsid w:val="00236D2F"/>
    <w:rsid w:val="002431AE"/>
    <w:rsid w:val="0024379B"/>
    <w:rsid w:val="002555B8"/>
    <w:rsid w:val="002611A7"/>
    <w:rsid w:val="00266FC5"/>
    <w:rsid w:val="00276796"/>
    <w:rsid w:val="00284FB2"/>
    <w:rsid w:val="0029328A"/>
    <w:rsid w:val="00295C3C"/>
    <w:rsid w:val="00295D20"/>
    <w:rsid w:val="002A1AF2"/>
    <w:rsid w:val="002A60F5"/>
    <w:rsid w:val="002B090C"/>
    <w:rsid w:val="002B2E78"/>
    <w:rsid w:val="002B7314"/>
    <w:rsid w:val="002C153B"/>
    <w:rsid w:val="002D79CF"/>
    <w:rsid w:val="002E0E30"/>
    <w:rsid w:val="002E62F6"/>
    <w:rsid w:val="002E702B"/>
    <w:rsid w:val="002F1E1F"/>
    <w:rsid w:val="00301A87"/>
    <w:rsid w:val="0030437C"/>
    <w:rsid w:val="0031135A"/>
    <w:rsid w:val="003121F7"/>
    <w:rsid w:val="0031365D"/>
    <w:rsid w:val="00314D29"/>
    <w:rsid w:val="00315CFC"/>
    <w:rsid w:val="00316B5F"/>
    <w:rsid w:val="00317F3B"/>
    <w:rsid w:val="00321894"/>
    <w:rsid w:val="00321CDB"/>
    <w:rsid w:val="00332515"/>
    <w:rsid w:val="003368D4"/>
    <w:rsid w:val="00337C74"/>
    <w:rsid w:val="00340177"/>
    <w:rsid w:val="0034506B"/>
    <w:rsid w:val="003630EE"/>
    <w:rsid w:val="00365BA9"/>
    <w:rsid w:val="0037000B"/>
    <w:rsid w:val="003747B9"/>
    <w:rsid w:val="0038554A"/>
    <w:rsid w:val="003857DF"/>
    <w:rsid w:val="003A50E3"/>
    <w:rsid w:val="003A6A7F"/>
    <w:rsid w:val="003B2E2C"/>
    <w:rsid w:val="003B3724"/>
    <w:rsid w:val="003C04E5"/>
    <w:rsid w:val="003C51B9"/>
    <w:rsid w:val="003C5E51"/>
    <w:rsid w:val="003C5F3A"/>
    <w:rsid w:val="003D123E"/>
    <w:rsid w:val="003D3100"/>
    <w:rsid w:val="003D3E8E"/>
    <w:rsid w:val="003D52D0"/>
    <w:rsid w:val="003D71B6"/>
    <w:rsid w:val="003E0E32"/>
    <w:rsid w:val="00407998"/>
    <w:rsid w:val="00412598"/>
    <w:rsid w:val="00412ACB"/>
    <w:rsid w:val="00413CCF"/>
    <w:rsid w:val="00413DB8"/>
    <w:rsid w:val="004169B3"/>
    <w:rsid w:val="00421EC2"/>
    <w:rsid w:val="00423970"/>
    <w:rsid w:val="00435221"/>
    <w:rsid w:val="00437A5C"/>
    <w:rsid w:val="0044152D"/>
    <w:rsid w:val="00446531"/>
    <w:rsid w:val="00453246"/>
    <w:rsid w:val="004556B5"/>
    <w:rsid w:val="00455947"/>
    <w:rsid w:val="0046589C"/>
    <w:rsid w:val="0047200C"/>
    <w:rsid w:val="00475B5C"/>
    <w:rsid w:val="00481D85"/>
    <w:rsid w:val="00483193"/>
    <w:rsid w:val="00494ADE"/>
    <w:rsid w:val="0049520E"/>
    <w:rsid w:val="00497DC6"/>
    <w:rsid w:val="004A0D3B"/>
    <w:rsid w:val="004C7D33"/>
    <w:rsid w:val="004D230F"/>
    <w:rsid w:val="004D3820"/>
    <w:rsid w:val="004D449D"/>
    <w:rsid w:val="004D7AD4"/>
    <w:rsid w:val="004E0CD4"/>
    <w:rsid w:val="004E2AEB"/>
    <w:rsid w:val="004E3413"/>
    <w:rsid w:val="004F0639"/>
    <w:rsid w:val="0050569B"/>
    <w:rsid w:val="005073D3"/>
    <w:rsid w:val="00511D13"/>
    <w:rsid w:val="00512B1A"/>
    <w:rsid w:val="005215FB"/>
    <w:rsid w:val="00530402"/>
    <w:rsid w:val="00535C7A"/>
    <w:rsid w:val="00537E4B"/>
    <w:rsid w:val="00540765"/>
    <w:rsid w:val="00547D69"/>
    <w:rsid w:val="00562403"/>
    <w:rsid w:val="005725E0"/>
    <w:rsid w:val="005755BA"/>
    <w:rsid w:val="0057764F"/>
    <w:rsid w:val="0058458C"/>
    <w:rsid w:val="0058501E"/>
    <w:rsid w:val="005910E8"/>
    <w:rsid w:val="00594562"/>
    <w:rsid w:val="005A1031"/>
    <w:rsid w:val="005A1B63"/>
    <w:rsid w:val="005A21DB"/>
    <w:rsid w:val="005A317A"/>
    <w:rsid w:val="005A3A23"/>
    <w:rsid w:val="005A7F1B"/>
    <w:rsid w:val="005B277A"/>
    <w:rsid w:val="005B7445"/>
    <w:rsid w:val="005C069E"/>
    <w:rsid w:val="005C3BC7"/>
    <w:rsid w:val="005C6629"/>
    <w:rsid w:val="005D065D"/>
    <w:rsid w:val="005D16BC"/>
    <w:rsid w:val="005E2482"/>
    <w:rsid w:val="005F38AF"/>
    <w:rsid w:val="005F4F73"/>
    <w:rsid w:val="006105F7"/>
    <w:rsid w:val="00611D64"/>
    <w:rsid w:val="0061226D"/>
    <w:rsid w:val="00612E00"/>
    <w:rsid w:val="006156D5"/>
    <w:rsid w:val="0062338D"/>
    <w:rsid w:val="006254D5"/>
    <w:rsid w:val="0062614A"/>
    <w:rsid w:val="00634E08"/>
    <w:rsid w:val="0064005D"/>
    <w:rsid w:val="00642309"/>
    <w:rsid w:val="00651F86"/>
    <w:rsid w:val="00653B24"/>
    <w:rsid w:val="00654C63"/>
    <w:rsid w:val="00656119"/>
    <w:rsid w:val="00656F67"/>
    <w:rsid w:val="00661405"/>
    <w:rsid w:val="00662EF0"/>
    <w:rsid w:val="006645DE"/>
    <w:rsid w:val="00670E9B"/>
    <w:rsid w:val="00672C75"/>
    <w:rsid w:val="0067336D"/>
    <w:rsid w:val="00674121"/>
    <w:rsid w:val="0068430E"/>
    <w:rsid w:val="00691DD2"/>
    <w:rsid w:val="00694FCA"/>
    <w:rsid w:val="0069542D"/>
    <w:rsid w:val="0069629F"/>
    <w:rsid w:val="006A07C2"/>
    <w:rsid w:val="006A4471"/>
    <w:rsid w:val="006B6C00"/>
    <w:rsid w:val="006B7899"/>
    <w:rsid w:val="006C2D59"/>
    <w:rsid w:val="006C2DCC"/>
    <w:rsid w:val="006D02D6"/>
    <w:rsid w:val="006D0E3A"/>
    <w:rsid w:val="006D45E8"/>
    <w:rsid w:val="006E2867"/>
    <w:rsid w:val="006E323A"/>
    <w:rsid w:val="006E3915"/>
    <w:rsid w:val="006E4B7C"/>
    <w:rsid w:val="006E5E4E"/>
    <w:rsid w:val="006F0AC9"/>
    <w:rsid w:val="006F289F"/>
    <w:rsid w:val="006F3036"/>
    <w:rsid w:val="007064C5"/>
    <w:rsid w:val="007072BC"/>
    <w:rsid w:val="0071348B"/>
    <w:rsid w:val="0072222E"/>
    <w:rsid w:val="00726FC0"/>
    <w:rsid w:val="007278A4"/>
    <w:rsid w:val="00741470"/>
    <w:rsid w:val="007446D1"/>
    <w:rsid w:val="0074750E"/>
    <w:rsid w:val="0075153F"/>
    <w:rsid w:val="00751D7B"/>
    <w:rsid w:val="00754FB6"/>
    <w:rsid w:val="00757189"/>
    <w:rsid w:val="0076163C"/>
    <w:rsid w:val="00762314"/>
    <w:rsid w:val="007628A1"/>
    <w:rsid w:val="007655FA"/>
    <w:rsid w:val="00773DB9"/>
    <w:rsid w:val="00782889"/>
    <w:rsid w:val="007868A7"/>
    <w:rsid w:val="00790965"/>
    <w:rsid w:val="007A12D4"/>
    <w:rsid w:val="007A20AF"/>
    <w:rsid w:val="007A5318"/>
    <w:rsid w:val="007B0E10"/>
    <w:rsid w:val="007B2D7C"/>
    <w:rsid w:val="007B3311"/>
    <w:rsid w:val="007B61C5"/>
    <w:rsid w:val="007C15B9"/>
    <w:rsid w:val="007C4F93"/>
    <w:rsid w:val="007C7FC3"/>
    <w:rsid w:val="007D02FB"/>
    <w:rsid w:val="007D386E"/>
    <w:rsid w:val="007E5D0D"/>
    <w:rsid w:val="007E6E69"/>
    <w:rsid w:val="008050B3"/>
    <w:rsid w:val="0081434D"/>
    <w:rsid w:val="00815874"/>
    <w:rsid w:val="008160AB"/>
    <w:rsid w:val="00820783"/>
    <w:rsid w:val="00821D1E"/>
    <w:rsid w:val="00823CD7"/>
    <w:rsid w:val="00823E9B"/>
    <w:rsid w:val="00824BFB"/>
    <w:rsid w:val="00830526"/>
    <w:rsid w:val="00834E88"/>
    <w:rsid w:val="0083614F"/>
    <w:rsid w:val="00836F34"/>
    <w:rsid w:val="0084742B"/>
    <w:rsid w:val="00851CA4"/>
    <w:rsid w:val="0085605A"/>
    <w:rsid w:val="00856B3E"/>
    <w:rsid w:val="008659A5"/>
    <w:rsid w:val="00865A08"/>
    <w:rsid w:val="0086632A"/>
    <w:rsid w:val="0087011E"/>
    <w:rsid w:val="00876531"/>
    <w:rsid w:val="00880A06"/>
    <w:rsid w:val="00881C23"/>
    <w:rsid w:val="00883D6C"/>
    <w:rsid w:val="00886207"/>
    <w:rsid w:val="008870D0"/>
    <w:rsid w:val="00890F0D"/>
    <w:rsid w:val="008A48E6"/>
    <w:rsid w:val="008B115C"/>
    <w:rsid w:val="008B49CE"/>
    <w:rsid w:val="008B5F22"/>
    <w:rsid w:val="008C231A"/>
    <w:rsid w:val="008D4A4F"/>
    <w:rsid w:val="008D7355"/>
    <w:rsid w:val="008E2A42"/>
    <w:rsid w:val="008E5E54"/>
    <w:rsid w:val="008F4DDA"/>
    <w:rsid w:val="00902A4F"/>
    <w:rsid w:val="00911402"/>
    <w:rsid w:val="0091222D"/>
    <w:rsid w:val="00920203"/>
    <w:rsid w:val="0092087D"/>
    <w:rsid w:val="00920FEB"/>
    <w:rsid w:val="00924706"/>
    <w:rsid w:val="00940C22"/>
    <w:rsid w:val="009471C2"/>
    <w:rsid w:val="00947AD6"/>
    <w:rsid w:val="00962A2D"/>
    <w:rsid w:val="00963F30"/>
    <w:rsid w:val="00966AA0"/>
    <w:rsid w:val="009671F5"/>
    <w:rsid w:val="00972F40"/>
    <w:rsid w:val="00974ECB"/>
    <w:rsid w:val="00975F76"/>
    <w:rsid w:val="009812A9"/>
    <w:rsid w:val="009904E5"/>
    <w:rsid w:val="009962A4"/>
    <w:rsid w:val="00997AA2"/>
    <w:rsid w:val="009A2274"/>
    <w:rsid w:val="009A31E4"/>
    <w:rsid w:val="009A4F1F"/>
    <w:rsid w:val="009C1CEB"/>
    <w:rsid w:val="009C4238"/>
    <w:rsid w:val="009C4AB3"/>
    <w:rsid w:val="009E1A0E"/>
    <w:rsid w:val="009E2DE9"/>
    <w:rsid w:val="009F2CAC"/>
    <w:rsid w:val="00A11D6B"/>
    <w:rsid w:val="00A2117D"/>
    <w:rsid w:val="00A23D26"/>
    <w:rsid w:val="00A273C5"/>
    <w:rsid w:val="00A306C2"/>
    <w:rsid w:val="00A32590"/>
    <w:rsid w:val="00A327ED"/>
    <w:rsid w:val="00A352C9"/>
    <w:rsid w:val="00A355BD"/>
    <w:rsid w:val="00A35718"/>
    <w:rsid w:val="00A37A08"/>
    <w:rsid w:val="00A41C1F"/>
    <w:rsid w:val="00A4318E"/>
    <w:rsid w:val="00A50CB9"/>
    <w:rsid w:val="00A566CB"/>
    <w:rsid w:val="00A67355"/>
    <w:rsid w:val="00A7462A"/>
    <w:rsid w:val="00A8181B"/>
    <w:rsid w:val="00A8393F"/>
    <w:rsid w:val="00A968A5"/>
    <w:rsid w:val="00AA0A05"/>
    <w:rsid w:val="00AA26C7"/>
    <w:rsid w:val="00AA47FE"/>
    <w:rsid w:val="00AB00F6"/>
    <w:rsid w:val="00AB2B63"/>
    <w:rsid w:val="00AB3E6E"/>
    <w:rsid w:val="00AB5C98"/>
    <w:rsid w:val="00AC7C9E"/>
    <w:rsid w:val="00AC7EEF"/>
    <w:rsid w:val="00AD1722"/>
    <w:rsid w:val="00AD239C"/>
    <w:rsid w:val="00AD7F50"/>
    <w:rsid w:val="00AE0FC4"/>
    <w:rsid w:val="00AE5F8F"/>
    <w:rsid w:val="00B11FE8"/>
    <w:rsid w:val="00B121A8"/>
    <w:rsid w:val="00B14131"/>
    <w:rsid w:val="00B16E7C"/>
    <w:rsid w:val="00B20DC9"/>
    <w:rsid w:val="00B25777"/>
    <w:rsid w:val="00B27308"/>
    <w:rsid w:val="00B32B1D"/>
    <w:rsid w:val="00B41640"/>
    <w:rsid w:val="00B44806"/>
    <w:rsid w:val="00B51A2D"/>
    <w:rsid w:val="00B55B22"/>
    <w:rsid w:val="00B5736D"/>
    <w:rsid w:val="00B60841"/>
    <w:rsid w:val="00B67401"/>
    <w:rsid w:val="00B67D57"/>
    <w:rsid w:val="00B71B30"/>
    <w:rsid w:val="00B73C41"/>
    <w:rsid w:val="00B7457E"/>
    <w:rsid w:val="00B74D39"/>
    <w:rsid w:val="00B754F3"/>
    <w:rsid w:val="00BA114E"/>
    <w:rsid w:val="00BA2C3C"/>
    <w:rsid w:val="00BB525F"/>
    <w:rsid w:val="00BB5BCC"/>
    <w:rsid w:val="00BB6E3E"/>
    <w:rsid w:val="00BD0C1B"/>
    <w:rsid w:val="00BD59D9"/>
    <w:rsid w:val="00BE0E75"/>
    <w:rsid w:val="00BE1983"/>
    <w:rsid w:val="00BE4681"/>
    <w:rsid w:val="00BE75B4"/>
    <w:rsid w:val="00BE7E24"/>
    <w:rsid w:val="00BF173E"/>
    <w:rsid w:val="00BF7629"/>
    <w:rsid w:val="00C02F71"/>
    <w:rsid w:val="00C03066"/>
    <w:rsid w:val="00C04780"/>
    <w:rsid w:val="00C15B1A"/>
    <w:rsid w:val="00C2050A"/>
    <w:rsid w:val="00C3112C"/>
    <w:rsid w:val="00C35502"/>
    <w:rsid w:val="00C37EFB"/>
    <w:rsid w:val="00C50BDB"/>
    <w:rsid w:val="00C57197"/>
    <w:rsid w:val="00C57948"/>
    <w:rsid w:val="00C63237"/>
    <w:rsid w:val="00C6335D"/>
    <w:rsid w:val="00C67778"/>
    <w:rsid w:val="00C72E58"/>
    <w:rsid w:val="00C75647"/>
    <w:rsid w:val="00C80565"/>
    <w:rsid w:val="00C82332"/>
    <w:rsid w:val="00C86FAA"/>
    <w:rsid w:val="00C878DA"/>
    <w:rsid w:val="00C87AC6"/>
    <w:rsid w:val="00C976BE"/>
    <w:rsid w:val="00C97E25"/>
    <w:rsid w:val="00C97F88"/>
    <w:rsid w:val="00CA1378"/>
    <w:rsid w:val="00CA7B21"/>
    <w:rsid w:val="00CB0266"/>
    <w:rsid w:val="00CB0F5E"/>
    <w:rsid w:val="00CB2732"/>
    <w:rsid w:val="00CE1A11"/>
    <w:rsid w:val="00CE28AA"/>
    <w:rsid w:val="00CE6B55"/>
    <w:rsid w:val="00CF109A"/>
    <w:rsid w:val="00CF421E"/>
    <w:rsid w:val="00CF6330"/>
    <w:rsid w:val="00D13ABE"/>
    <w:rsid w:val="00D16A1C"/>
    <w:rsid w:val="00D23B17"/>
    <w:rsid w:val="00D24B83"/>
    <w:rsid w:val="00D24F54"/>
    <w:rsid w:val="00D256CB"/>
    <w:rsid w:val="00D32543"/>
    <w:rsid w:val="00D40158"/>
    <w:rsid w:val="00D408D4"/>
    <w:rsid w:val="00D433C1"/>
    <w:rsid w:val="00D43C46"/>
    <w:rsid w:val="00D45229"/>
    <w:rsid w:val="00D45C26"/>
    <w:rsid w:val="00D45D1C"/>
    <w:rsid w:val="00D471DD"/>
    <w:rsid w:val="00D5111E"/>
    <w:rsid w:val="00D51770"/>
    <w:rsid w:val="00D56084"/>
    <w:rsid w:val="00D5677E"/>
    <w:rsid w:val="00D57354"/>
    <w:rsid w:val="00D5737C"/>
    <w:rsid w:val="00D62A9A"/>
    <w:rsid w:val="00D65239"/>
    <w:rsid w:val="00D65980"/>
    <w:rsid w:val="00D75C7F"/>
    <w:rsid w:val="00D9645E"/>
    <w:rsid w:val="00DA0532"/>
    <w:rsid w:val="00DA4173"/>
    <w:rsid w:val="00DA66B2"/>
    <w:rsid w:val="00DB09A4"/>
    <w:rsid w:val="00DC23A4"/>
    <w:rsid w:val="00DC26A3"/>
    <w:rsid w:val="00DC5E38"/>
    <w:rsid w:val="00DC62E7"/>
    <w:rsid w:val="00DC73AD"/>
    <w:rsid w:val="00DD16C4"/>
    <w:rsid w:val="00DD2870"/>
    <w:rsid w:val="00DE45C9"/>
    <w:rsid w:val="00DE50D2"/>
    <w:rsid w:val="00DF12B2"/>
    <w:rsid w:val="00DF470C"/>
    <w:rsid w:val="00DF486E"/>
    <w:rsid w:val="00DF4B1A"/>
    <w:rsid w:val="00DF67BB"/>
    <w:rsid w:val="00E05025"/>
    <w:rsid w:val="00E10A3D"/>
    <w:rsid w:val="00E11160"/>
    <w:rsid w:val="00E13A4B"/>
    <w:rsid w:val="00E14637"/>
    <w:rsid w:val="00E14A0C"/>
    <w:rsid w:val="00E1693B"/>
    <w:rsid w:val="00E16C90"/>
    <w:rsid w:val="00E243C8"/>
    <w:rsid w:val="00E263C0"/>
    <w:rsid w:val="00E267AA"/>
    <w:rsid w:val="00E27B4C"/>
    <w:rsid w:val="00E31E50"/>
    <w:rsid w:val="00E36856"/>
    <w:rsid w:val="00E47BF2"/>
    <w:rsid w:val="00E52B53"/>
    <w:rsid w:val="00E556AF"/>
    <w:rsid w:val="00E60BFC"/>
    <w:rsid w:val="00E660D6"/>
    <w:rsid w:val="00E70F7F"/>
    <w:rsid w:val="00E71579"/>
    <w:rsid w:val="00E81ACD"/>
    <w:rsid w:val="00E872A7"/>
    <w:rsid w:val="00E90F14"/>
    <w:rsid w:val="00EA58C9"/>
    <w:rsid w:val="00EA5DEE"/>
    <w:rsid w:val="00EB07D7"/>
    <w:rsid w:val="00EB1BD1"/>
    <w:rsid w:val="00EB6181"/>
    <w:rsid w:val="00EB67C0"/>
    <w:rsid w:val="00EC43F8"/>
    <w:rsid w:val="00EC749D"/>
    <w:rsid w:val="00ED6BB7"/>
    <w:rsid w:val="00EE1BA7"/>
    <w:rsid w:val="00EE4137"/>
    <w:rsid w:val="00EE68A9"/>
    <w:rsid w:val="00EE7411"/>
    <w:rsid w:val="00EF3DA5"/>
    <w:rsid w:val="00EF60A9"/>
    <w:rsid w:val="00EF7114"/>
    <w:rsid w:val="00EF7501"/>
    <w:rsid w:val="00F04C16"/>
    <w:rsid w:val="00F0656F"/>
    <w:rsid w:val="00F30C12"/>
    <w:rsid w:val="00F418EC"/>
    <w:rsid w:val="00F5023B"/>
    <w:rsid w:val="00F56160"/>
    <w:rsid w:val="00F663D7"/>
    <w:rsid w:val="00F676B0"/>
    <w:rsid w:val="00F67DF1"/>
    <w:rsid w:val="00F750DC"/>
    <w:rsid w:val="00F7520A"/>
    <w:rsid w:val="00F75DD1"/>
    <w:rsid w:val="00F94B8E"/>
    <w:rsid w:val="00F97363"/>
    <w:rsid w:val="00FA4B87"/>
    <w:rsid w:val="00FA58D9"/>
    <w:rsid w:val="00FA692C"/>
    <w:rsid w:val="00FB28FF"/>
    <w:rsid w:val="00FC7756"/>
    <w:rsid w:val="00FE46F3"/>
    <w:rsid w:val="00FE4CC4"/>
    <w:rsid w:val="00FE79B9"/>
    <w:rsid w:val="00FF2243"/>
    <w:rsid w:val="00FF7345"/>
    <w:rsid w:val="1E0B1649"/>
    <w:rsid w:val="31371497"/>
    <w:rsid w:val="6C103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100" w:beforeLines="100"/>
      <w:ind w:left="431" w:hanging="431"/>
      <w:outlineLvl w:val="0"/>
    </w:pPr>
    <w:rPr>
      <w:rFonts w:ascii="微软雅黑" w:hAnsi="微软雅黑" w:eastAsia="微软雅黑"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50" w:beforeLines="50"/>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50" w:beforeLines="50"/>
      <w:outlineLvl w:val="2"/>
    </w:pPr>
    <w:rPr>
      <w:rFonts w:ascii="微软雅黑" w:hAnsi="微软雅黑" w:eastAsia="微软雅黑"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qFormat/>
    <w:uiPriority w:val="0"/>
    <w:pPr>
      <w:shd w:val="clear" w:color="auto" w:fill="000080"/>
    </w:pPr>
  </w:style>
  <w:style w:type="paragraph" w:styleId="15">
    <w:name w:val="toc 3"/>
    <w:basedOn w:val="1"/>
    <w:next w:val="1"/>
    <w:autoRedefine/>
    <w:qFormat/>
    <w:uiPriority w:val="39"/>
    <w:pPr>
      <w:tabs>
        <w:tab w:val="left" w:pos="900"/>
        <w:tab w:val="left" w:pos="1260"/>
        <w:tab w:val="right" w:leader="dot" w:pos="8222"/>
      </w:tabs>
      <w:spacing w:line="400" w:lineRule="exact"/>
      <w:ind w:left="210" w:firstLine="210" w:firstLineChars="100"/>
    </w:pPr>
    <w:rPr>
      <w:kern w:val="2"/>
      <w:szCs w:val="24"/>
      <w:lang w:val="en-US"/>
    </w:rPr>
  </w:style>
  <w:style w:type="paragraph" w:styleId="16">
    <w:name w:val="Balloon Text"/>
    <w:basedOn w:val="1"/>
    <w:link w:val="35"/>
    <w:qFormat/>
    <w:uiPriority w:val="0"/>
    <w:pPr>
      <w:spacing w:line="240" w:lineRule="auto"/>
    </w:pPr>
    <w:rPr>
      <w:sz w:val="18"/>
      <w:szCs w:val="18"/>
    </w:rPr>
  </w:style>
  <w:style w:type="paragraph" w:styleId="17">
    <w:name w:val="footer"/>
    <w:basedOn w:val="1"/>
    <w:link w:val="30"/>
    <w:qFormat/>
    <w:uiPriority w:val="99"/>
    <w:pPr>
      <w:tabs>
        <w:tab w:val="center" w:pos="4153"/>
        <w:tab w:val="right" w:pos="8306"/>
      </w:tabs>
      <w:snapToGrid w:val="0"/>
    </w:pPr>
    <w:rPr>
      <w:szCs w:val="18"/>
    </w:rPr>
  </w:style>
  <w:style w:type="paragraph" w:styleId="18">
    <w:name w:val="header"/>
    <w:basedOn w:val="1"/>
    <w:link w:val="44"/>
    <w:qFormat/>
    <w:uiPriority w:val="0"/>
    <w:pPr>
      <w:pBdr>
        <w:bottom w:val="single" w:color="auto" w:sz="6" w:space="1"/>
      </w:pBdr>
      <w:tabs>
        <w:tab w:val="center" w:pos="4153"/>
        <w:tab w:val="right" w:pos="8306"/>
      </w:tabs>
      <w:snapToGrid w:val="0"/>
      <w:jc w:val="center"/>
    </w:pPr>
    <w:rPr>
      <w:szCs w:val="18"/>
    </w:rPr>
  </w:style>
  <w:style w:type="paragraph" w:styleId="19">
    <w:name w:val="toc 1"/>
    <w:basedOn w:val="1"/>
    <w:next w:val="1"/>
    <w:autoRedefine/>
    <w:qFormat/>
    <w:uiPriority w:val="39"/>
    <w:pPr>
      <w:tabs>
        <w:tab w:val="left" w:leader="dot" w:pos="180"/>
        <w:tab w:val="left" w:pos="420"/>
        <w:tab w:val="right" w:leader="dot" w:pos="8222"/>
      </w:tabs>
      <w:spacing w:line="440" w:lineRule="exact"/>
    </w:pPr>
    <w:rPr>
      <w:rFonts w:ascii="微软雅黑" w:hAnsi="微软雅黑" w:eastAsia="微软雅黑" w:cs="微软雅黑"/>
      <w:b/>
      <w:bCs/>
      <w:kern w:val="2"/>
      <w:szCs w:val="24"/>
      <w:lang w:val="en-US"/>
    </w:rPr>
  </w:style>
  <w:style w:type="paragraph" w:styleId="20">
    <w:name w:val="toc 2"/>
    <w:basedOn w:val="1"/>
    <w:next w:val="1"/>
    <w:autoRedefine/>
    <w:qFormat/>
    <w:uiPriority w:val="39"/>
    <w:pPr>
      <w:tabs>
        <w:tab w:val="left" w:pos="540"/>
        <w:tab w:val="left" w:pos="840"/>
        <w:tab w:val="right" w:leader="dot" w:pos="8222"/>
      </w:tabs>
      <w:spacing w:line="440" w:lineRule="exact"/>
      <w:ind w:left="198"/>
    </w:pPr>
    <w:rPr>
      <w:rFonts w:ascii="微软雅黑" w:hAnsi="微软雅黑" w:eastAsia="微软雅黑" w:cs="微软雅黑"/>
      <w:kern w:val="2"/>
      <w:szCs w:val="21"/>
      <w:lang w:val="en-US"/>
    </w:rPr>
  </w:style>
  <w:style w:type="paragraph" w:styleId="21">
    <w:name w:val="Title"/>
    <w:basedOn w:val="1"/>
    <w:next w:val="1"/>
    <w:link w:val="53"/>
    <w:qFormat/>
    <w:uiPriority w:val="0"/>
    <w:pPr>
      <w:spacing w:line="240" w:lineRule="auto"/>
      <w:jc w:val="center"/>
      <w:outlineLvl w:val="0"/>
    </w:pPr>
    <w:rPr>
      <w:rFonts w:ascii="微软雅黑" w:hAnsi="微软雅黑" w:eastAsia="微软雅黑" w:cs="微软雅黑"/>
      <w:b/>
      <w:bCs/>
      <w:sz w:val="32"/>
      <w:szCs w:val="32"/>
    </w:rPr>
  </w:style>
  <w:style w:type="table" w:styleId="23">
    <w:name w:val="Table Grid"/>
    <w:basedOn w:val="22"/>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qFormat/>
    <w:uiPriority w:val="99"/>
    <w:rPr>
      <w:color w:val="800080"/>
      <w:u w:val="single"/>
    </w:rPr>
  </w:style>
  <w:style w:type="character" w:styleId="26">
    <w:name w:val="Emphasis"/>
    <w:qFormat/>
    <w:uiPriority w:val="20"/>
    <w:rPr>
      <w:color w:val="CC0000"/>
    </w:rPr>
  </w:style>
  <w:style w:type="character" w:styleId="27">
    <w:name w:val="Hyperlink"/>
    <w:qFormat/>
    <w:uiPriority w:val="99"/>
    <w:rPr>
      <w:color w:val="0000FF"/>
      <w:u w:val="single"/>
    </w:rPr>
  </w:style>
  <w:style w:type="character" w:customStyle="1" w:styleId="28">
    <w:name w:val="标题 1 字符"/>
    <w:link w:val="2"/>
    <w:qFormat/>
    <w:uiPriority w:val="0"/>
    <w:rPr>
      <w:rFonts w:ascii="微软雅黑" w:hAnsi="微软雅黑" w:eastAsia="微软雅黑"/>
      <w:b/>
      <w:bCs/>
      <w:kern w:val="32"/>
      <w:sz w:val="28"/>
      <w:szCs w:val="28"/>
    </w:rPr>
  </w:style>
  <w:style w:type="character" w:customStyle="1" w:styleId="29">
    <w:name w:val="标题 2 字符"/>
    <w:link w:val="4"/>
    <w:qFormat/>
    <w:uiPriority w:val="0"/>
    <w:rPr>
      <w:rFonts w:ascii="微软雅黑" w:hAnsi="微软雅黑" w:eastAsia="微软雅黑" w:cs="Arial"/>
      <w:b/>
      <w:bCs/>
      <w:iCs/>
      <w:color w:val="000000"/>
      <w:sz w:val="24"/>
      <w:szCs w:val="24"/>
    </w:rPr>
  </w:style>
  <w:style w:type="character" w:customStyle="1" w:styleId="30">
    <w:name w:val="页脚 字符"/>
    <w:link w:val="17"/>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qFormat/>
    <w:uiPriority w:val="0"/>
    <w:rPr>
      <w:rFonts w:ascii="微软雅黑" w:hAnsi="微软雅黑" w:eastAsia="微软雅黑" w:cs="Arial"/>
      <w:b/>
      <w:bCs/>
      <w:sz w:val="21"/>
      <w:szCs w:val="21"/>
    </w:rPr>
  </w:style>
  <w:style w:type="character" w:customStyle="1" w:styleId="35">
    <w:name w:val="批注框文本 字符"/>
    <w:link w:val="16"/>
    <w:qFormat/>
    <w:uiPriority w:val="0"/>
    <w:rPr>
      <w:sz w:val="18"/>
      <w:szCs w:val="18"/>
      <w:lang w:val="en-GB"/>
    </w:rPr>
  </w:style>
  <w:style w:type="character" w:styleId="36">
    <w:name w:val="Placeholder Text"/>
    <w:semiHidden/>
    <w:qFormat/>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qFormat/>
    <w:uiPriority w:val="0"/>
    <w:rPr>
      <w:b/>
      <w:bCs/>
      <w:sz w:val="21"/>
      <w:szCs w:val="28"/>
      <w:lang w:val="en-GB"/>
    </w:rPr>
  </w:style>
  <w:style w:type="character" w:customStyle="1" w:styleId="39">
    <w:name w:val="标题 5 字符"/>
    <w:link w:val="7"/>
    <w:qFormat/>
    <w:uiPriority w:val="0"/>
    <w:rPr>
      <w:b/>
      <w:bCs/>
      <w:iCs/>
      <w:sz w:val="21"/>
      <w:szCs w:val="26"/>
      <w:lang w:val="en-GB"/>
    </w:rPr>
  </w:style>
  <w:style w:type="character" w:customStyle="1" w:styleId="40">
    <w:name w:val="标题 6 字符"/>
    <w:link w:val="8"/>
    <w:qFormat/>
    <w:uiPriority w:val="0"/>
    <w:rPr>
      <w:b/>
      <w:bCs/>
      <w:sz w:val="21"/>
      <w:szCs w:val="22"/>
      <w:lang w:val="en-GB"/>
    </w:rPr>
  </w:style>
  <w:style w:type="character" w:customStyle="1" w:styleId="41">
    <w:name w:val="标题 7 字符"/>
    <w:link w:val="9"/>
    <w:qFormat/>
    <w:uiPriority w:val="0"/>
    <w:rPr>
      <w:sz w:val="24"/>
      <w:szCs w:val="24"/>
      <w:lang w:val="en-GB"/>
    </w:rPr>
  </w:style>
  <w:style w:type="character" w:customStyle="1" w:styleId="42">
    <w:name w:val="标题 8 字符"/>
    <w:link w:val="10"/>
    <w:qFormat/>
    <w:uiPriority w:val="0"/>
    <w:rPr>
      <w:i/>
      <w:iCs/>
      <w:sz w:val="24"/>
      <w:szCs w:val="24"/>
      <w:lang w:val="en-GB"/>
    </w:rPr>
  </w:style>
  <w:style w:type="character" w:customStyle="1" w:styleId="43">
    <w:name w:val="标题 9 字符"/>
    <w:link w:val="11"/>
    <w:qFormat/>
    <w:uiPriority w:val="0"/>
    <w:rPr>
      <w:rFonts w:ascii="Arial" w:hAnsi="Arial" w:cs="Arial"/>
      <w:sz w:val="22"/>
      <w:szCs w:val="22"/>
      <w:lang w:val="en-GB"/>
    </w:rPr>
  </w:style>
  <w:style w:type="character" w:customStyle="1" w:styleId="44">
    <w:name w:val="页眉 字符"/>
    <w:link w:val="18"/>
    <w:qFormat/>
    <w:uiPriority w:val="0"/>
    <w:rPr>
      <w:sz w:val="21"/>
      <w:szCs w:val="18"/>
      <w:lang w:val="en-GB"/>
    </w:rPr>
  </w:style>
  <w:style w:type="character" w:customStyle="1" w:styleId="45">
    <w:name w:val="文档结构图 字符"/>
    <w:link w:val="14"/>
    <w:semiHidden/>
    <w:qFormat/>
    <w:uiPriority w:val="0"/>
    <w:rPr>
      <w:sz w:val="21"/>
      <w:shd w:val="clear" w:color="auto" w:fill="000080"/>
      <w:lang w:val="en-GB"/>
    </w:rPr>
  </w:style>
  <w:style w:type="paragraph" w:customStyle="1" w:styleId="46">
    <w:name w:val="TOC 标题1"/>
    <w:basedOn w:val="2"/>
    <w:next w:val="1"/>
    <w:unhideWhenUsed/>
    <w:qFormat/>
    <w:uiPriority w:val="39"/>
    <w:pPr>
      <w:keepLines/>
      <w:numPr>
        <w:numId w:val="0"/>
      </w:numPr>
      <w:kinsoku/>
      <w:spacing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7">
    <w:name w:val="封面表格 字符"/>
    <w:basedOn w:val="24"/>
    <w:link w:val="48"/>
    <w:qFormat/>
    <w:locked/>
    <w:uiPriority w:val="0"/>
    <w:rPr>
      <w:rFonts w:ascii="微软雅黑" w:hAnsi="微软雅黑" w:eastAsia="微软雅黑" w:cs="微软雅黑"/>
      <w:sz w:val="24"/>
      <w:szCs w:val="24"/>
      <w:lang w:val="en-GB"/>
    </w:rPr>
  </w:style>
  <w:style w:type="paragraph" w:customStyle="1" w:styleId="48">
    <w:name w:val="封面表格"/>
    <w:basedOn w:val="1"/>
    <w:link w:val="47"/>
    <w:qFormat/>
    <w:uiPriority w:val="0"/>
    <w:pPr>
      <w:spacing w:line="240" w:lineRule="auto"/>
    </w:pPr>
    <w:rPr>
      <w:rFonts w:ascii="微软雅黑" w:hAnsi="微软雅黑" w:eastAsia="微软雅黑" w:cs="微软雅黑"/>
      <w:sz w:val="24"/>
      <w:szCs w:val="24"/>
    </w:rPr>
  </w:style>
  <w:style w:type="character" w:customStyle="1" w:styleId="49">
    <w:name w:val="封面页尾 字符"/>
    <w:basedOn w:val="24"/>
    <w:link w:val="50"/>
    <w:qFormat/>
    <w:locked/>
    <w:uiPriority w:val="0"/>
    <w:rPr>
      <w:rFonts w:ascii="微软雅黑" w:hAnsi="微软雅黑" w:eastAsia="微软雅黑" w:cs="微软雅黑"/>
      <w:sz w:val="18"/>
      <w:lang w:val="en-GB"/>
    </w:rPr>
  </w:style>
  <w:style w:type="paragraph" w:customStyle="1" w:styleId="50">
    <w:name w:val="封面页尾"/>
    <w:basedOn w:val="1"/>
    <w:link w:val="49"/>
    <w:qFormat/>
    <w:uiPriority w:val="0"/>
    <w:pPr>
      <w:spacing w:line="240" w:lineRule="exact"/>
    </w:pPr>
    <w:rPr>
      <w:rFonts w:ascii="微软雅黑" w:hAnsi="微软雅黑" w:eastAsia="微软雅黑" w:cs="微软雅黑"/>
      <w:sz w:val="18"/>
    </w:rPr>
  </w:style>
  <w:style w:type="character" w:customStyle="1" w:styleId="51">
    <w:name w:val="封面信息 字符"/>
    <w:basedOn w:val="47"/>
    <w:link w:val="52"/>
    <w:qFormat/>
    <w:locked/>
    <w:uiPriority w:val="0"/>
    <w:rPr>
      <w:rFonts w:ascii="微软雅黑" w:hAnsi="微软雅黑" w:eastAsia="微软雅黑" w:cs="微软雅黑"/>
      <w:sz w:val="32"/>
      <w:szCs w:val="32"/>
      <w:lang w:val="en-GB"/>
    </w:rPr>
  </w:style>
  <w:style w:type="paragraph" w:customStyle="1" w:styleId="52">
    <w:name w:val="封面信息"/>
    <w:basedOn w:val="48"/>
    <w:link w:val="51"/>
    <w:qFormat/>
    <w:uiPriority w:val="0"/>
    <w:pPr>
      <w:jc w:val="center"/>
    </w:pPr>
    <w:rPr>
      <w:sz w:val="32"/>
      <w:szCs w:val="32"/>
    </w:rPr>
  </w:style>
  <w:style w:type="character" w:customStyle="1" w:styleId="53">
    <w:name w:val="标题 字符"/>
    <w:basedOn w:val="24"/>
    <w:link w:val="21"/>
    <w:qFormat/>
    <w:uiPriority w:val="0"/>
    <w:rPr>
      <w:rFonts w:ascii="微软雅黑" w:hAnsi="微软雅黑" w:eastAsia="微软雅黑" w:cs="微软雅黑"/>
      <w:b/>
      <w:bCs/>
      <w:sz w:val="32"/>
      <w:szCs w:val="32"/>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9.png"/><Relationship Id="rId16" Type="http://schemas.openxmlformats.org/officeDocument/2006/relationships/image" Target="media/image8.wmf"/><Relationship Id="rId15" Type="http://schemas.openxmlformats.org/officeDocument/2006/relationships/oleObject" Target="embeddings/oleObject1.bin"/><Relationship Id="rId14" Type="http://schemas.openxmlformats.org/officeDocument/2006/relationships/image" Target="media/image7.png"/><Relationship Id="rId13" Type="http://schemas.openxmlformats.org/officeDocument/2006/relationships/image" Target="media/image6.bmp"/><Relationship Id="rId12" Type="http://schemas.openxmlformats.org/officeDocument/2006/relationships/image" Target="media/image5.bmp"/><Relationship Id="rId11" Type="http://schemas.openxmlformats.org/officeDocument/2006/relationships/image" Target="media/image4.bmp"/><Relationship Id="rId10" Type="http://schemas.openxmlformats.org/officeDocument/2006/relationships/image" Target="media/image3.bmp"/><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14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16BE6-8475-4153-ADBA-6ABC044CDABA}">
  <ds:schemaRefs/>
</ds:datastoreItem>
</file>

<file path=docProps/app.xml><?xml version="1.0" encoding="utf-8"?>
<Properties xmlns="http://schemas.openxmlformats.org/officeDocument/2006/extended-properties" xmlns:vt="http://schemas.openxmlformats.org/officeDocument/2006/docPropsVTypes">
  <Template>tmp148.dotx</Template>
  <Pages>10</Pages>
  <Words>1855</Words>
  <Characters>2341</Characters>
  <Lines>24</Lines>
  <Paragraphs>6</Paragraphs>
  <TotalTime>0</TotalTime>
  <ScaleCrop>false</ScaleCrop>
  <LinksUpToDate>false</LinksUpToDate>
  <CharactersWithSpaces>2465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2026-05-12T07:02:00Z</dcterms:created>
  <dc:creator>Administrator</dc:creator>
  <cp:lastModifiedBy>Administrator</cp:lastModifiedBy>
  <dcterms:modified xsi:type="dcterms:W3CDTF">2026-05-12T07:04:46Z</dcterms:modified>
  <dc:title>室内热湿环境预计达标比例报告书</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FA7D4B5DE9F54B9483A74E9BFFE9E7CA_11</vt:lpwstr>
  </property>
  <property fmtid="{D5CDD505-2E9C-101B-9397-08002B2CF9AE}" pid="4" name="KSOTemplateDocerSaveRecord">
    <vt:lpwstr>eyJoZGlkIjoiMzg2ZGM5YzBmOGM2ZGYzZTg1NDY2ZTQ1ZGU2YmQ4MzMiLCJ1c2VySWQiOiIzMTM1OTY0ODUifQ==</vt:lpwstr>
  </property>
</Properties>
</file>